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7A" w:rsidRPr="00D80F95" w:rsidRDefault="00EF23A6" w:rsidP="00EF23A6">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Not Able and Not Available: the Other Reasons</w:t>
      </w:r>
    </w:p>
    <w:p w:rsidR="00EF23A6" w:rsidRPr="00D80F95" w:rsidRDefault="00EF23A6" w:rsidP="00EF23A6">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Ineke Stoop (SCP)</w:t>
      </w:r>
      <w:r w:rsidR="003B53C2" w:rsidRPr="00D80F95">
        <w:rPr>
          <w:rFonts w:asciiTheme="minorHAnsi" w:hAnsiTheme="minorHAnsi" w:cstheme="minorHAnsi"/>
          <w:sz w:val="20"/>
          <w:szCs w:val="20"/>
          <w:lang w:val="en-GB"/>
        </w:rPr>
        <w:t>,</w:t>
      </w:r>
      <w:r w:rsidRPr="00D80F95">
        <w:rPr>
          <w:rFonts w:asciiTheme="minorHAnsi" w:hAnsiTheme="minorHAnsi" w:cstheme="minorHAnsi"/>
          <w:sz w:val="20"/>
          <w:szCs w:val="20"/>
          <w:lang w:val="en-GB"/>
        </w:rPr>
        <w:t xml:space="preserve"> Hideko Matsuo (Leuven University)</w:t>
      </w:r>
      <w:r w:rsidR="003B53C2" w:rsidRPr="00D80F95">
        <w:rPr>
          <w:rFonts w:asciiTheme="minorHAnsi" w:hAnsiTheme="minorHAnsi" w:cstheme="minorHAnsi"/>
          <w:sz w:val="20"/>
          <w:szCs w:val="20"/>
          <w:lang w:val="en-GB"/>
        </w:rPr>
        <w:t xml:space="preserve"> and Achim Koch (GESIS)</w:t>
      </w:r>
    </w:p>
    <w:p w:rsidR="00EF23A6" w:rsidRPr="00D80F95" w:rsidRDefault="00EF23A6" w:rsidP="00EF23A6">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Paper for the 2012 Nonresponse Workshop in Ottawa</w:t>
      </w:r>
    </w:p>
    <w:p w:rsidR="00EF23A6" w:rsidRPr="00D80F95" w:rsidRDefault="00EF23A6" w:rsidP="00EF23A6">
      <w:pPr>
        <w:pStyle w:val="Geenafstand"/>
        <w:rPr>
          <w:rFonts w:asciiTheme="minorHAnsi" w:hAnsiTheme="minorHAnsi" w:cstheme="minorHAnsi"/>
          <w:sz w:val="20"/>
          <w:szCs w:val="20"/>
          <w:lang w:val="en-GB"/>
        </w:rPr>
      </w:pPr>
    </w:p>
    <w:p w:rsidR="00EF23A6" w:rsidRPr="00D80F95" w:rsidRDefault="00EF23A6" w:rsidP="00EF23A6">
      <w:pPr>
        <w:pStyle w:val="Geenafstand"/>
        <w:rPr>
          <w:rFonts w:asciiTheme="minorHAnsi" w:hAnsiTheme="minorHAnsi" w:cstheme="minorHAnsi"/>
          <w:b/>
          <w:i/>
          <w:sz w:val="20"/>
          <w:szCs w:val="20"/>
          <w:lang w:val="en-GB"/>
        </w:rPr>
      </w:pPr>
      <w:r w:rsidRPr="00D80F95">
        <w:rPr>
          <w:rFonts w:asciiTheme="minorHAnsi" w:hAnsiTheme="minorHAnsi" w:cstheme="minorHAnsi"/>
          <w:b/>
          <w:i/>
          <w:sz w:val="20"/>
          <w:szCs w:val="20"/>
          <w:lang w:val="en-GB"/>
        </w:rPr>
        <w:t>What are we talking about?</w:t>
      </w:r>
    </w:p>
    <w:p w:rsidR="00472B7A" w:rsidRPr="00D80F95" w:rsidRDefault="00EF23A6" w:rsidP="00BB7EEF">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In nonresponse research refusal and noncontact are usually identified as the major reasons for nonresponse. There is a third category (“not able”) but usually very little attention is paid to this.</w:t>
      </w:r>
      <w:r w:rsidR="00BB7EEF" w:rsidRPr="00D80F95">
        <w:rPr>
          <w:rFonts w:asciiTheme="minorHAnsi" w:hAnsiTheme="minorHAnsi" w:cstheme="minorHAnsi"/>
          <w:sz w:val="20"/>
          <w:szCs w:val="20"/>
          <w:lang w:val="en-GB"/>
        </w:rPr>
        <w:t xml:space="preserve"> In the European Social Survey three categories of nonresponse are usually distinguished: refusal, noncontact and “not able/other”. Figure 1 shows that this last category accounts for a substantial part of the nonresponse. </w:t>
      </w:r>
    </w:p>
    <w:p w:rsidR="00472B7A" w:rsidRPr="00D80F95" w:rsidRDefault="00472B7A" w:rsidP="00F8010C">
      <w:pPr>
        <w:pStyle w:val="Bijschrift"/>
        <w:keepNext/>
        <w:rPr>
          <w:rFonts w:asciiTheme="minorHAnsi" w:hAnsiTheme="minorHAnsi" w:cstheme="minorHAnsi"/>
          <w:sz w:val="20"/>
          <w:szCs w:val="20"/>
          <w:lang w:val="en-GB"/>
        </w:rPr>
      </w:pPr>
    </w:p>
    <w:p w:rsidR="00F8010C" w:rsidRPr="00D80F95" w:rsidRDefault="00F8010C" w:rsidP="00F8010C">
      <w:pPr>
        <w:pStyle w:val="Bijschrift"/>
        <w:keepNext/>
        <w:rPr>
          <w:rFonts w:asciiTheme="minorHAnsi" w:hAnsiTheme="minorHAnsi" w:cstheme="minorHAnsi"/>
          <w:b w:val="0"/>
          <w:color w:val="auto"/>
          <w:lang w:val="en-GB"/>
        </w:rPr>
      </w:pPr>
      <w:r w:rsidRPr="00D80F95">
        <w:rPr>
          <w:rFonts w:asciiTheme="minorHAnsi" w:hAnsiTheme="minorHAnsi" w:cstheme="minorHAnsi"/>
          <w:b w:val="0"/>
          <w:color w:val="auto"/>
          <w:lang w:val="en-GB"/>
        </w:rPr>
        <w:t xml:space="preserve">Figure </w:t>
      </w:r>
      <w:r w:rsidR="00A160AC" w:rsidRPr="00D80F95">
        <w:rPr>
          <w:rFonts w:asciiTheme="minorHAnsi" w:hAnsiTheme="minorHAnsi" w:cstheme="minorHAnsi"/>
          <w:b w:val="0"/>
          <w:color w:val="auto"/>
          <w:lang w:val="en-GB"/>
        </w:rPr>
        <w:fldChar w:fldCharType="begin"/>
      </w:r>
      <w:r w:rsidRPr="00D80F95">
        <w:rPr>
          <w:rFonts w:asciiTheme="minorHAnsi" w:hAnsiTheme="minorHAnsi" w:cstheme="minorHAnsi"/>
          <w:b w:val="0"/>
          <w:color w:val="auto"/>
          <w:lang w:val="en-GB"/>
        </w:rPr>
        <w:instrText xml:space="preserve"> SEQ Figure \* ARABIC </w:instrText>
      </w:r>
      <w:r w:rsidR="00A160AC" w:rsidRPr="00D80F95">
        <w:rPr>
          <w:rFonts w:asciiTheme="minorHAnsi" w:hAnsiTheme="minorHAnsi" w:cstheme="minorHAnsi"/>
          <w:b w:val="0"/>
          <w:color w:val="auto"/>
          <w:lang w:val="en-GB"/>
        </w:rPr>
        <w:fldChar w:fldCharType="separate"/>
      </w:r>
      <w:r w:rsidRPr="00D80F95">
        <w:rPr>
          <w:rFonts w:asciiTheme="minorHAnsi" w:hAnsiTheme="minorHAnsi" w:cstheme="minorHAnsi"/>
          <w:b w:val="0"/>
          <w:noProof/>
          <w:color w:val="auto"/>
          <w:lang w:val="en-GB"/>
        </w:rPr>
        <w:t>1</w:t>
      </w:r>
      <w:r w:rsidR="00A160AC" w:rsidRPr="00D80F95">
        <w:rPr>
          <w:rFonts w:asciiTheme="minorHAnsi" w:hAnsiTheme="minorHAnsi" w:cstheme="minorHAnsi"/>
          <w:b w:val="0"/>
          <w:color w:val="auto"/>
          <w:lang w:val="en-GB"/>
        </w:rPr>
        <w:fldChar w:fldCharType="end"/>
      </w:r>
      <w:r w:rsidRPr="00D80F95">
        <w:rPr>
          <w:rFonts w:asciiTheme="minorHAnsi" w:hAnsiTheme="minorHAnsi" w:cstheme="minorHAnsi"/>
          <w:b w:val="0"/>
          <w:color w:val="auto"/>
          <w:lang w:val="en-GB"/>
        </w:rPr>
        <w:t>.</w:t>
      </w:r>
      <w:r w:rsidRPr="00D80F95">
        <w:rPr>
          <w:rFonts w:asciiTheme="minorHAnsi" w:hAnsiTheme="minorHAnsi" w:cstheme="minorHAnsi"/>
          <w:b w:val="0"/>
          <w:noProof/>
          <w:color w:val="auto"/>
          <w:lang w:val="en-GB"/>
        </w:rPr>
        <w:t>Final disposition codes, European Social Survey Round 1 to Round 4 (only countries that participated in each round). Source: Matsuo et al. (2010, p. 55).</w:t>
      </w:r>
    </w:p>
    <w:p w:rsidR="00F8010C" w:rsidRPr="00D80F95" w:rsidRDefault="00F8010C" w:rsidP="00F8010C">
      <w:pPr>
        <w:pStyle w:val="Geenafstand"/>
        <w:rPr>
          <w:rFonts w:asciiTheme="minorHAnsi" w:hAnsiTheme="minorHAnsi" w:cstheme="minorHAnsi"/>
          <w:sz w:val="20"/>
          <w:szCs w:val="20"/>
          <w:lang w:val="en-GB"/>
        </w:rPr>
      </w:pPr>
      <w:r w:rsidRPr="00D80F95">
        <w:rPr>
          <w:rFonts w:asciiTheme="minorHAnsi" w:hAnsiTheme="minorHAnsi" w:cstheme="minorHAnsi"/>
          <w:noProof/>
          <w:sz w:val="20"/>
          <w:szCs w:val="20"/>
        </w:rPr>
        <w:drawing>
          <wp:inline distT="0" distB="0" distL="0" distR="0">
            <wp:extent cx="4575937" cy="2744724"/>
            <wp:effectExtent l="19050" t="0" r="15113" b="0"/>
            <wp:docPr id="2" name="Grafie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010C" w:rsidRPr="00D80F95" w:rsidRDefault="00F8010C" w:rsidP="00F8010C">
      <w:pPr>
        <w:pStyle w:val="Geenafstand"/>
        <w:rPr>
          <w:rFonts w:asciiTheme="minorHAnsi" w:hAnsiTheme="minorHAnsi" w:cstheme="minorHAnsi"/>
          <w:sz w:val="20"/>
          <w:szCs w:val="20"/>
          <w:lang w:val="en-GB"/>
        </w:rPr>
      </w:pPr>
      <w:r w:rsidRPr="00D80F95">
        <w:rPr>
          <w:rFonts w:asciiTheme="minorHAnsi" w:hAnsiTheme="minorHAnsi" w:cstheme="minorHAnsi"/>
          <w:noProof/>
          <w:sz w:val="20"/>
          <w:szCs w:val="20"/>
        </w:rPr>
        <w:drawing>
          <wp:inline distT="0" distB="0" distL="0" distR="0">
            <wp:extent cx="4563999" cy="3036824"/>
            <wp:effectExtent l="19050" t="0" r="27051" b="0"/>
            <wp:docPr id="3" name="Grafie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010C" w:rsidRPr="00D80F95" w:rsidRDefault="00F8010C" w:rsidP="00F8010C">
      <w:pPr>
        <w:rPr>
          <w:rFonts w:asciiTheme="minorHAnsi" w:hAnsiTheme="minorHAnsi" w:cstheme="minorHAnsi"/>
          <w:sz w:val="20"/>
          <w:szCs w:val="20"/>
          <w:lang w:val="en-GB"/>
        </w:rPr>
      </w:pPr>
    </w:p>
    <w:p w:rsidR="00EF23A6" w:rsidRPr="00D80F95" w:rsidRDefault="00EF23A6">
      <w:pPr>
        <w:rPr>
          <w:rFonts w:asciiTheme="minorHAnsi" w:hAnsiTheme="minorHAnsi" w:cstheme="minorHAnsi"/>
          <w:sz w:val="20"/>
          <w:szCs w:val="20"/>
          <w:lang w:val="en-GB"/>
        </w:rPr>
      </w:pPr>
      <w:r w:rsidRPr="00D80F95">
        <w:rPr>
          <w:rFonts w:asciiTheme="minorHAnsi" w:hAnsiTheme="minorHAnsi" w:cstheme="minorHAnsi"/>
          <w:sz w:val="20"/>
          <w:szCs w:val="20"/>
          <w:lang w:val="en-GB"/>
        </w:rPr>
        <w:t>Figure 1 presents for those countries that participate</w:t>
      </w:r>
      <w:r w:rsidR="00BB7EEF" w:rsidRPr="00D80F95">
        <w:rPr>
          <w:rFonts w:asciiTheme="minorHAnsi" w:hAnsiTheme="minorHAnsi" w:cstheme="minorHAnsi"/>
          <w:sz w:val="20"/>
          <w:szCs w:val="20"/>
          <w:lang w:val="en-GB"/>
        </w:rPr>
        <w:t>d</w:t>
      </w:r>
      <w:r w:rsidRPr="00D80F95">
        <w:rPr>
          <w:rFonts w:asciiTheme="minorHAnsi" w:hAnsiTheme="minorHAnsi" w:cstheme="minorHAnsi"/>
          <w:sz w:val="20"/>
          <w:szCs w:val="20"/>
          <w:lang w:val="en-GB"/>
        </w:rPr>
        <w:t xml:space="preserve"> in the </w:t>
      </w:r>
      <w:r w:rsidR="00BB7EEF" w:rsidRPr="00D80F95">
        <w:rPr>
          <w:rFonts w:asciiTheme="minorHAnsi" w:hAnsiTheme="minorHAnsi" w:cstheme="minorHAnsi"/>
          <w:sz w:val="20"/>
          <w:szCs w:val="20"/>
          <w:lang w:val="en-GB"/>
        </w:rPr>
        <w:t xml:space="preserve">first 4 Rounds of the </w:t>
      </w:r>
      <w:r w:rsidRPr="00D80F95">
        <w:rPr>
          <w:rFonts w:asciiTheme="minorHAnsi" w:hAnsiTheme="minorHAnsi" w:cstheme="minorHAnsi"/>
          <w:sz w:val="20"/>
          <w:szCs w:val="20"/>
          <w:lang w:val="en-GB"/>
        </w:rPr>
        <w:t>ESS</w:t>
      </w:r>
      <w:r w:rsidR="00D44DCC" w:rsidRPr="00D80F95">
        <w:rPr>
          <w:rFonts w:asciiTheme="minorHAnsi" w:hAnsiTheme="minorHAnsi" w:cstheme="minorHAnsi"/>
          <w:sz w:val="20"/>
          <w:szCs w:val="20"/>
          <w:lang w:val="en-GB"/>
        </w:rPr>
        <w:t>,</w:t>
      </w:r>
      <w:r w:rsidRPr="00D80F95">
        <w:rPr>
          <w:rFonts w:asciiTheme="minorHAnsi" w:hAnsiTheme="minorHAnsi" w:cstheme="minorHAnsi"/>
          <w:sz w:val="20"/>
          <w:szCs w:val="20"/>
          <w:lang w:val="en-GB"/>
        </w:rPr>
        <w:t xml:space="preserve"> response (=interview), noncontact, refusal and not able/other as a percentage of the eligible sample units. Not able/other comprises </w:t>
      </w:r>
      <w:r w:rsidR="00BB7EEF" w:rsidRPr="00D80F95">
        <w:rPr>
          <w:rFonts w:asciiTheme="minorHAnsi" w:hAnsiTheme="minorHAnsi" w:cstheme="minorHAnsi"/>
          <w:sz w:val="20"/>
          <w:szCs w:val="20"/>
          <w:lang w:val="en-GB"/>
        </w:rPr>
        <w:t>four</w:t>
      </w:r>
      <w:r w:rsidRPr="00D80F95">
        <w:rPr>
          <w:rFonts w:asciiTheme="minorHAnsi" w:hAnsiTheme="minorHAnsi" w:cstheme="minorHAnsi"/>
          <w:sz w:val="20"/>
          <w:szCs w:val="20"/>
          <w:lang w:val="en-GB"/>
        </w:rPr>
        <w:t xml:space="preserve"> categories from the so-called contact forms used in the E</w:t>
      </w:r>
      <w:r w:rsidR="00BB7EEF" w:rsidRPr="00D80F95">
        <w:rPr>
          <w:rFonts w:asciiTheme="minorHAnsi" w:hAnsiTheme="minorHAnsi" w:cstheme="minorHAnsi"/>
          <w:sz w:val="20"/>
          <w:szCs w:val="20"/>
          <w:lang w:val="en-GB"/>
        </w:rPr>
        <w:t>SS (see an extract in figure 2): not able mentally or physically (cat. 6), not able, language barrier (cat. 11), unavailable/not at home during fieldwork period (cat. 5), and “other” (cat. 12).</w:t>
      </w:r>
    </w:p>
    <w:p w:rsidR="00EF23A6" w:rsidRPr="00D80F95" w:rsidRDefault="00EF23A6">
      <w:pPr>
        <w:rPr>
          <w:rFonts w:asciiTheme="minorHAnsi" w:hAnsiTheme="minorHAnsi" w:cstheme="minorHAnsi"/>
          <w:sz w:val="20"/>
          <w:szCs w:val="20"/>
          <w:lang w:val="en-GB"/>
        </w:rPr>
      </w:pPr>
    </w:p>
    <w:p w:rsidR="00611606" w:rsidRPr="00D80F95" w:rsidRDefault="00611606">
      <w:pPr>
        <w:rPr>
          <w:rFonts w:asciiTheme="minorHAnsi" w:hAnsiTheme="minorHAnsi" w:cstheme="minorHAnsi"/>
          <w:sz w:val="18"/>
          <w:szCs w:val="18"/>
          <w:lang w:val="en-GB"/>
        </w:rPr>
      </w:pPr>
      <w:r w:rsidRPr="00D80F95">
        <w:rPr>
          <w:rFonts w:asciiTheme="minorHAnsi" w:hAnsiTheme="minorHAnsi" w:cstheme="minorHAnsi"/>
          <w:sz w:val="18"/>
          <w:szCs w:val="18"/>
          <w:lang w:val="en-GB"/>
        </w:rPr>
        <w:t>Figure 2. Recording outcomes of contacts in the ESS R4 contact form</w:t>
      </w:r>
    </w:p>
    <w:p w:rsidR="00611606" w:rsidRPr="00D80F95" w:rsidRDefault="00EF23A6">
      <w:pPr>
        <w:rPr>
          <w:rFonts w:asciiTheme="minorHAnsi" w:hAnsiTheme="minorHAnsi" w:cstheme="minorHAnsi"/>
          <w:sz w:val="20"/>
          <w:szCs w:val="20"/>
          <w:lang w:val="en-GB"/>
        </w:rPr>
      </w:pPr>
      <w:r w:rsidRPr="00D80F95">
        <w:rPr>
          <w:rFonts w:asciiTheme="minorHAnsi" w:hAnsiTheme="minorHAnsi" w:cstheme="minorHAnsi"/>
          <w:noProof/>
          <w:sz w:val="20"/>
          <w:szCs w:val="20"/>
        </w:rPr>
        <w:drawing>
          <wp:anchor distT="0" distB="0" distL="114300" distR="114300" simplePos="0" relativeHeight="251658240" behindDoc="0" locked="0" layoutInCell="1" allowOverlap="1">
            <wp:simplePos x="0" y="0"/>
            <wp:positionH relativeFrom="column">
              <wp:posOffset>14605</wp:posOffset>
            </wp:positionH>
            <wp:positionV relativeFrom="paragraph">
              <wp:posOffset>2540</wp:posOffset>
            </wp:positionV>
            <wp:extent cx="5762625" cy="3057525"/>
            <wp:effectExtent l="19050" t="0" r="9525"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62625" cy="3057525"/>
                    </a:xfrm>
                    <a:prstGeom prst="rect">
                      <a:avLst/>
                    </a:prstGeom>
                    <a:noFill/>
                    <a:ln w="9525">
                      <a:noFill/>
                      <a:miter lim="800000"/>
                      <a:headEnd/>
                      <a:tailEnd/>
                    </a:ln>
                  </pic:spPr>
                </pic:pic>
              </a:graphicData>
            </a:graphic>
          </wp:anchor>
        </w:drawing>
      </w:r>
      <w:r w:rsidR="00611606" w:rsidRPr="00D80F95">
        <w:rPr>
          <w:rFonts w:asciiTheme="minorHAnsi" w:hAnsiTheme="minorHAnsi" w:cstheme="minorHAnsi"/>
          <w:sz w:val="20"/>
          <w:szCs w:val="20"/>
          <w:lang w:val="en-GB"/>
        </w:rPr>
        <w:t xml:space="preserve"> </w:t>
      </w:r>
    </w:p>
    <w:p w:rsidR="00611606" w:rsidRPr="00D80F95" w:rsidRDefault="00611606">
      <w:pPr>
        <w:rPr>
          <w:rFonts w:asciiTheme="minorHAnsi" w:hAnsiTheme="minorHAnsi" w:cstheme="minorHAnsi"/>
          <w:sz w:val="20"/>
          <w:szCs w:val="20"/>
          <w:lang w:val="en-GB"/>
        </w:rPr>
      </w:pPr>
      <w:r w:rsidRPr="00D80F95">
        <w:rPr>
          <w:rFonts w:asciiTheme="minorHAnsi" w:hAnsiTheme="minorHAnsi" w:cstheme="minorHAnsi"/>
          <w:noProof/>
          <w:sz w:val="20"/>
          <w:szCs w:val="20"/>
        </w:rPr>
        <w:drawing>
          <wp:anchor distT="0" distB="0" distL="114300" distR="114300" simplePos="0" relativeHeight="251659264" behindDoc="0" locked="0" layoutInCell="1" allowOverlap="1">
            <wp:simplePos x="0" y="0"/>
            <wp:positionH relativeFrom="column">
              <wp:posOffset>-33020</wp:posOffset>
            </wp:positionH>
            <wp:positionV relativeFrom="paragraph">
              <wp:posOffset>181610</wp:posOffset>
            </wp:positionV>
            <wp:extent cx="4552950" cy="3676650"/>
            <wp:effectExtent l="19050" t="0" r="0"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552950" cy="3676650"/>
                    </a:xfrm>
                    <a:prstGeom prst="rect">
                      <a:avLst/>
                    </a:prstGeom>
                    <a:noFill/>
                    <a:ln w="9525">
                      <a:noFill/>
                      <a:miter lim="800000"/>
                      <a:headEnd/>
                      <a:tailEnd/>
                    </a:ln>
                  </pic:spPr>
                </pic:pic>
              </a:graphicData>
            </a:graphic>
          </wp:anchor>
        </w:drawing>
      </w:r>
      <w:r w:rsidRPr="00D80F95">
        <w:rPr>
          <w:rFonts w:asciiTheme="minorHAnsi" w:hAnsiTheme="minorHAnsi" w:cstheme="minorHAnsi"/>
          <w:sz w:val="20"/>
          <w:szCs w:val="20"/>
          <w:lang w:val="en-GB"/>
        </w:rPr>
        <w:t>Figure 3. Calculation of response rates in European Social Survey Round 4</w:t>
      </w:r>
    </w:p>
    <w:p w:rsidR="00B502D8" w:rsidRPr="00D80F95" w:rsidRDefault="007D1B6D" w:rsidP="00611606">
      <w:pPr>
        <w:pStyle w:val="Geenafstand"/>
        <w:rPr>
          <w:rFonts w:asciiTheme="minorHAnsi" w:hAnsiTheme="minorHAnsi" w:cstheme="minorHAnsi"/>
          <w:sz w:val="20"/>
          <w:szCs w:val="20"/>
          <w:lang w:val="en-GB"/>
        </w:rPr>
      </w:pPr>
      <w:r>
        <w:rPr>
          <w:rFonts w:asciiTheme="minorHAnsi" w:hAnsiTheme="minorHAnsi" w:cstheme="minorHAnsi"/>
          <w:sz w:val="20"/>
          <w:szCs w:val="20"/>
          <w:lang w:val="en-GB"/>
        </w:rPr>
        <w:t xml:space="preserve">In the ESS the outcome of the last call is used as the final disposition code with two exceptions: 1) after a refusal – </w:t>
      </w:r>
      <w:r w:rsidRPr="007D1B6D">
        <w:rPr>
          <w:rFonts w:asciiTheme="minorHAnsi" w:hAnsiTheme="minorHAnsi" w:cstheme="minorHAnsi"/>
          <w:sz w:val="20"/>
          <w:szCs w:val="20"/>
          <w:lang w:val="en-GB"/>
        </w:rPr>
        <w:t>even if the last contact attempt resulted in non‐contact or another outcome</w:t>
      </w:r>
      <w:r>
        <w:rPr>
          <w:rFonts w:asciiTheme="minorHAnsi" w:hAnsiTheme="minorHAnsi" w:cstheme="minorHAnsi"/>
          <w:sz w:val="20"/>
          <w:szCs w:val="20"/>
          <w:lang w:val="en-GB"/>
        </w:rPr>
        <w:t xml:space="preserve"> – they final outcome was refusal</w:t>
      </w:r>
      <w:r w:rsidRPr="007D1B6D">
        <w:rPr>
          <w:rFonts w:asciiTheme="minorHAnsi" w:hAnsiTheme="minorHAnsi" w:cstheme="minorHAnsi"/>
          <w:sz w:val="20"/>
          <w:szCs w:val="20"/>
          <w:lang w:val="en-GB"/>
        </w:rPr>
        <w:t>, they were declared refusal</w:t>
      </w:r>
      <w:r>
        <w:rPr>
          <w:rFonts w:asciiTheme="minorHAnsi" w:hAnsiTheme="minorHAnsi" w:cstheme="minorHAnsi"/>
          <w:sz w:val="20"/>
          <w:szCs w:val="20"/>
          <w:lang w:val="en-GB"/>
        </w:rPr>
        <w:t xml:space="preserve">, and 2) a refusal by the respondent overrules a refusal by proxy. </w:t>
      </w:r>
      <w:r w:rsidR="00611606" w:rsidRPr="00D80F95">
        <w:rPr>
          <w:rFonts w:asciiTheme="minorHAnsi" w:hAnsiTheme="minorHAnsi" w:cstheme="minorHAnsi"/>
          <w:sz w:val="20"/>
          <w:szCs w:val="20"/>
          <w:lang w:val="en-GB"/>
        </w:rPr>
        <w:t xml:space="preserve">Figure 3 shows how the response rate is calculated in the ESS. The number of eligible sample units is the total number of issues sample units minus non-residential addresses, not occupied addresses, </w:t>
      </w:r>
      <w:r w:rsidR="00B502D8" w:rsidRPr="00D80F95">
        <w:rPr>
          <w:rFonts w:asciiTheme="minorHAnsi" w:hAnsiTheme="minorHAnsi" w:cstheme="minorHAnsi"/>
          <w:sz w:val="20"/>
          <w:szCs w:val="20"/>
          <w:lang w:val="en-GB"/>
        </w:rPr>
        <w:t xml:space="preserve">other ineligibles address, and respondents who have moved (permanently) abroad or have deceased (H,I,K,L,M). Refusal (B,C) can be </w:t>
      </w:r>
      <w:r w:rsidR="009826C4" w:rsidRPr="00D80F95">
        <w:rPr>
          <w:rFonts w:asciiTheme="minorHAnsi" w:hAnsiTheme="minorHAnsi" w:cstheme="minorHAnsi"/>
          <w:sz w:val="20"/>
          <w:szCs w:val="20"/>
          <w:lang w:val="en-GB"/>
        </w:rPr>
        <w:t>b</w:t>
      </w:r>
      <w:r w:rsidR="00B502D8" w:rsidRPr="00D80F95">
        <w:rPr>
          <w:rFonts w:asciiTheme="minorHAnsi" w:hAnsiTheme="minorHAnsi" w:cstheme="minorHAnsi"/>
          <w:sz w:val="20"/>
          <w:szCs w:val="20"/>
          <w:lang w:val="en-GB"/>
        </w:rPr>
        <w:t>y the respondent or by someone else in the household (or a refusal to select the respondent from the household members)). No-contact</w:t>
      </w:r>
      <w:r>
        <w:rPr>
          <w:rFonts w:asciiTheme="minorHAnsi" w:hAnsiTheme="minorHAnsi" w:cstheme="minorHAnsi"/>
          <w:sz w:val="20"/>
          <w:szCs w:val="20"/>
          <w:lang w:val="en-GB"/>
        </w:rPr>
        <w:t xml:space="preserve"> with anybody in the household is a non</w:t>
      </w:r>
      <w:r w:rsidR="00B502D8" w:rsidRPr="00D80F95">
        <w:rPr>
          <w:rFonts w:asciiTheme="minorHAnsi" w:hAnsiTheme="minorHAnsi" w:cstheme="minorHAnsi"/>
          <w:sz w:val="20"/>
          <w:szCs w:val="20"/>
          <w:lang w:val="en-GB"/>
        </w:rPr>
        <w:t xml:space="preserve">contact (D). The respondent may not speak the </w:t>
      </w:r>
      <w:r w:rsidR="00B502D8" w:rsidRPr="00D80F95">
        <w:rPr>
          <w:rFonts w:asciiTheme="minorHAnsi" w:hAnsiTheme="minorHAnsi" w:cstheme="minorHAnsi"/>
          <w:sz w:val="20"/>
          <w:szCs w:val="20"/>
          <w:lang w:val="en-GB"/>
        </w:rPr>
        <w:lastRenderedPageBreak/>
        <w:t>survey language(s) (E) or be unable to cooperate mentally or physically (F) (not able), and the respondent may be unavailable for other reasons (G) (</w:t>
      </w:r>
      <w:r w:rsidR="009826C4" w:rsidRPr="00D80F95">
        <w:rPr>
          <w:rFonts w:asciiTheme="minorHAnsi" w:hAnsiTheme="minorHAnsi" w:cstheme="minorHAnsi"/>
          <w:sz w:val="20"/>
          <w:szCs w:val="20"/>
          <w:lang w:val="en-GB"/>
        </w:rPr>
        <w:t xml:space="preserve">unavailable + </w:t>
      </w:r>
      <w:r w:rsidR="00B502D8" w:rsidRPr="00D80F95">
        <w:rPr>
          <w:rFonts w:asciiTheme="minorHAnsi" w:hAnsiTheme="minorHAnsi" w:cstheme="minorHAnsi"/>
          <w:sz w:val="20"/>
          <w:szCs w:val="20"/>
          <w:lang w:val="en-GB"/>
        </w:rPr>
        <w:t xml:space="preserve">other). </w:t>
      </w:r>
    </w:p>
    <w:p w:rsidR="00B502D8" w:rsidRPr="00D80F95" w:rsidRDefault="00B502D8" w:rsidP="00611606">
      <w:pPr>
        <w:pStyle w:val="Geenafstand"/>
        <w:rPr>
          <w:rFonts w:asciiTheme="minorHAnsi" w:hAnsiTheme="minorHAnsi" w:cstheme="minorHAnsi"/>
          <w:sz w:val="20"/>
          <w:szCs w:val="20"/>
          <w:lang w:val="en-GB"/>
        </w:rPr>
      </w:pPr>
    </w:p>
    <w:p w:rsidR="00B502D8" w:rsidRPr="00D80F95" w:rsidRDefault="00B502D8" w:rsidP="00611606">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As the combination “not able/other” is so substantial, it is worthwhile to check the details, available from the </w:t>
      </w:r>
      <w:r w:rsidR="00574628" w:rsidRPr="00D80F95">
        <w:rPr>
          <w:rFonts w:asciiTheme="minorHAnsi" w:hAnsiTheme="minorHAnsi" w:cstheme="minorHAnsi"/>
          <w:sz w:val="20"/>
          <w:szCs w:val="20"/>
          <w:lang w:val="en-GB"/>
        </w:rPr>
        <w:t>ESS data website (NSD, 2010, 2012). This report presents the disposition codes as calculated by the countries themselves. These codes may differ from the standardised ESS disposition codes</w:t>
      </w:r>
      <w:r w:rsidR="009826C4" w:rsidRPr="00D80F95">
        <w:rPr>
          <w:rFonts w:asciiTheme="minorHAnsi" w:hAnsiTheme="minorHAnsi" w:cstheme="minorHAnsi"/>
          <w:sz w:val="20"/>
          <w:szCs w:val="20"/>
          <w:lang w:val="en-GB"/>
        </w:rPr>
        <w:t xml:space="preserve"> (see below)</w:t>
      </w:r>
      <w:r w:rsidR="00574628" w:rsidRPr="00D80F95">
        <w:rPr>
          <w:rFonts w:asciiTheme="minorHAnsi" w:hAnsiTheme="minorHAnsi" w:cstheme="minorHAnsi"/>
          <w:sz w:val="20"/>
          <w:szCs w:val="20"/>
          <w:lang w:val="en-GB"/>
        </w:rPr>
        <w:t>. Figure 4 presents the outcomes for language barrier, mental or physical impediments and unavailable</w:t>
      </w:r>
      <w:r w:rsidR="009826C4" w:rsidRPr="00D80F95">
        <w:rPr>
          <w:rFonts w:asciiTheme="minorHAnsi" w:hAnsiTheme="minorHAnsi" w:cstheme="minorHAnsi"/>
          <w:sz w:val="20"/>
          <w:szCs w:val="20"/>
          <w:lang w:val="en-GB"/>
        </w:rPr>
        <w:t xml:space="preserve">/other </w:t>
      </w:r>
      <w:r w:rsidR="00574628" w:rsidRPr="00D80F95">
        <w:rPr>
          <w:rFonts w:asciiTheme="minorHAnsi" w:hAnsiTheme="minorHAnsi" w:cstheme="minorHAnsi"/>
          <w:sz w:val="20"/>
          <w:szCs w:val="20"/>
          <w:lang w:val="en-GB"/>
        </w:rPr>
        <w:t>for ESS R4. Countries are ordered by response rate (46% in Croatia, 79% in Cyprus).</w:t>
      </w:r>
    </w:p>
    <w:p w:rsidR="00574628" w:rsidRPr="00D80F95" w:rsidRDefault="00574628" w:rsidP="00611606">
      <w:pPr>
        <w:pStyle w:val="Geenafstand"/>
        <w:rPr>
          <w:rFonts w:asciiTheme="minorHAnsi" w:hAnsiTheme="minorHAnsi" w:cstheme="minorHAnsi"/>
          <w:sz w:val="20"/>
          <w:szCs w:val="20"/>
          <w:lang w:val="en-GB"/>
        </w:rPr>
      </w:pPr>
    </w:p>
    <w:p w:rsidR="00574628" w:rsidRPr="00D80F95" w:rsidRDefault="00574628" w:rsidP="00611606">
      <w:pPr>
        <w:pStyle w:val="Geenafstand"/>
        <w:rPr>
          <w:rFonts w:asciiTheme="minorHAnsi" w:hAnsiTheme="minorHAnsi" w:cstheme="minorHAnsi"/>
          <w:sz w:val="18"/>
          <w:szCs w:val="18"/>
          <w:lang w:val="en-GB"/>
        </w:rPr>
      </w:pPr>
      <w:r w:rsidRPr="00D80F95">
        <w:rPr>
          <w:rFonts w:asciiTheme="minorHAnsi" w:hAnsiTheme="minorHAnsi" w:cstheme="minorHAnsi"/>
          <w:sz w:val="18"/>
          <w:szCs w:val="18"/>
          <w:lang w:val="en-GB"/>
        </w:rPr>
        <w:t>Figure 5. Language problems, mentally or physically unable</w:t>
      </w:r>
      <w:r w:rsidR="009727C4" w:rsidRPr="00D80F95">
        <w:rPr>
          <w:rFonts w:asciiTheme="minorHAnsi" w:hAnsiTheme="minorHAnsi" w:cstheme="minorHAnsi"/>
          <w:sz w:val="18"/>
          <w:szCs w:val="18"/>
          <w:lang w:val="en-GB"/>
        </w:rPr>
        <w:t>,</w:t>
      </w:r>
      <w:r w:rsidRPr="00D80F95">
        <w:rPr>
          <w:rFonts w:asciiTheme="minorHAnsi" w:hAnsiTheme="minorHAnsi" w:cstheme="minorHAnsi"/>
          <w:sz w:val="18"/>
          <w:szCs w:val="18"/>
          <w:lang w:val="en-GB"/>
        </w:rPr>
        <w:t xml:space="preserve"> and unavailable as percentage of eligible sample units, ESS R4 (NSD, 2010)</w:t>
      </w:r>
    </w:p>
    <w:p w:rsidR="00574628" w:rsidRPr="00D80F95" w:rsidRDefault="00574628" w:rsidP="00611606">
      <w:pPr>
        <w:pStyle w:val="Geenafstand"/>
        <w:rPr>
          <w:rFonts w:asciiTheme="minorHAnsi" w:hAnsiTheme="minorHAnsi" w:cstheme="minorHAnsi"/>
          <w:sz w:val="20"/>
          <w:szCs w:val="20"/>
          <w:lang w:val="en-GB"/>
        </w:rPr>
      </w:pPr>
    </w:p>
    <w:p w:rsidR="00574628" w:rsidRPr="00D80F95" w:rsidRDefault="00574628" w:rsidP="00611606">
      <w:pPr>
        <w:pStyle w:val="Geenafstand"/>
        <w:rPr>
          <w:rFonts w:asciiTheme="minorHAnsi" w:hAnsiTheme="minorHAnsi" w:cstheme="minorHAnsi"/>
          <w:sz w:val="20"/>
          <w:szCs w:val="20"/>
          <w:lang w:val="en-GB"/>
        </w:rPr>
      </w:pPr>
      <w:r w:rsidRPr="00D80F95">
        <w:rPr>
          <w:rFonts w:asciiTheme="minorHAnsi" w:hAnsiTheme="minorHAnsi" w:cstheme="minorHAnsi"/>
          <w:noProof/>
          <w:sz w:val="20"/>
          <w:szCs w:val="20"/>
        </w:rPr>
        <w:drawing>
          <wp:inline distT="0" distB="0" distL="0" distR="0">
            <wp:extent cx="5760720" cy="3765353"/>
            <wp:effectExtent l="19050" t="0" r="11430" b="6547"/>
            <wp:docPr id="5"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27C4" w:rsidRPr="00D80F95" w:rsidRDefault="00574628">
      <w:pPr>
        <w:spacing w:after="200" w:line="276" w:lineRule="auto"/>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The first striking </w:t>
      </w:r>
      <w:r w:rsidR="00FC333D" w:rsidRPr="00D80F95">
        <w:rPr>
          <w:rFonts w:asciiTheme="minorHAnsi" w:hAnsiTheme="minorHAnsi" w:cstheme="minorHAnsi"/>
          <w:sz w:val="20"/>
          <w:szCs w:val="20"/>
          <w:lang w:val="en-GB"/>
        </w:rPr>
        <w:t>outcome is</w:t>
      </w:r>
      <w:r w:rsidRPr="00D80F95">
        <w:rPr>
          <w:rFonts w:asciiTheme="minorHAnsi" w:hAnsiTheme="minorHAnsi" w:cstheme="minorHAnsi"/>
          <w:sz w:val="20"/>
          <w:szCs w:val="20"/>
          <w:lang w:val="en-GB"/>
        </w:rPr>
        <w:t xml:space="preserve"> the very large differences in the percentage of people who are unavailable throughout the entire fieldwork period </w:t>
      </w:r>
      <w:r w:rsidR="009826C4" w:rsidRPr="00D80F95">
        <w:rPr>
          <w:rFonts w:asciiTheme="minorHAnsi" w:hAnsiTheme="minorHAnsi" w:cstheme="minorHAnsi"/>
          <w:sz w:val="20"/>
          <w:szCs w:val="20"/>
          <w:lang w:val="en-GB"/>
        </w:rPr>
        <w:t xml:space="preserve">or did not participate for other reasons </w:t>
      </w:r>
      <w:r w:rsidRPr="00D80F95">
        <w:rPr>
          <w:rFonts w:asciiTheme="minorHAnsi" w:hAnsiTheme="minorHAnsi" w:cstheme="minorHAnsi"/>
          <w:sz w:val="20"/>
          <w:szCs w:val="20"/>
          <w:lang w:val="en-GB"/>
        </w:rPr>
        <w:t>(14% in Romania, close to 10% in Slovenia and Switzerland, and in 12 out of 30 countries less than 1%).</w:t>
      </w:r>
      <w:r w:rsidR="009727C4" w:rsidRPr="00D80F95">
        <w:rPr>
          <w:rFonts w:asciiTheme="minorHAnsi" w:hAnsiTheme="minorHAnsi" w:cstheme="minorHAnsi"/>
          <w:sz w:val="20"/>
          <w:szCs w:val="20"/>
          <w:lang w:val="en-GB"/>
        </w:rPr>
        <w:t xml:space="preserve"> </w:t>
      </w:r>
    </w:p>
    <w:p w:rsidR="00245EC3" w:rsidRPr="00D80F95" w:rsidRDefault="009727C4">
      <w:pPr>
        <w:spacing w:after="200" w:line="276" w:lineRule="auto"/>
        <w:rPr>
          <w:rFonts w:asciiTheme="minorHAnsi" w:hAnsiTheme="minorHAnsi" w:cstheme="minorHAnsi"/>
          <w:sz w:val="20"/>
          <w:szCs w:val="20"/>
          <w:lang w:val="en-GB"/>
        </w:rPr>
      </w:pPr>
      <w:r w:rsidRPr="00D80F95">
        <w:rPr>
          <w:rFonts w:asciiTheme="minorHAnsi" w:hAnsiTheme="minorHAnsi" w:cstheme="minorHAnsi"/>
          <w:sz w:val="20"/>
          <w:szCs w:val="20"/>
          <w:lang w:val="en-GB"/>
        </w:rPr>
        <w:t>Figure 6 gives the same picture without the “</w:t>
      </w:r>
      <w:r w:rsidR="009826C4" w:rsidRPr="00D80F95">
        <w:rPr>
          <w:rFonts w:asciiTheme="minorHAnsi" w:hAnsiTheme="minorHAnsi" w:cstheme="minorHAnsi"/>
          <w:sz w:val="20"/>
          <w:szCs w:val="20"/>
          <w:lang w:val="en-GB"/>
        </w:rPr>
        <w:t>unavailable/others</w:t>
      </w:r>
      <w:r w:rsidRPr="00D80F95">
        <w:rPr>
          <w:rFonts w:asciiTheme="minorHAnsi" w:hAnsiTheme="minorHAnsi" w:cstheme="minorHAnsi"/>
          <w:sz w:val="20"/>
          <w:szCs w:val="20"/>
          <w:lang w:val="en-GB"/>
        </w:rPr>
        <w:t>”. Here we see again the substantial variation between countries: some countries record no language problems at all, whereas they are a substantial problem in Cyprus and Belgium. Also, in some countries nobody is unable to participate due to mental or physical impediments, whereas in Germany, Denmark, Estonia, Belgium, Norway, Sweden, Finland and Poland this is 2.5% or more.</w:t>
      </w:r>
    </w:p>
    <w:p w:rsidR="00245EC3" w:rsidRPr="00D80F95" w:rsidRDefault="00245EC3" w:rsidP="00245EC3">
      <w:pPr>
        <w:spacing w:after="200" w:line="276" w:lineRule="auto"/>
        <w:rPr>
          <w:rFonts w:asciiTheme="minorHAnsi" w:hAnsiTheme="minorHAnsi" w:cstheme="minorHAnsi"/>
          <w:sz w:val="20"/>
          <w:szCs w:val="20"/>
          <w:lang w:val="en-GB"/>
        </w:rPr>
      </w:pPr>
      <w:r w:rsidRPr="00D80F95">
        <w:rPr>
          <w:rFonts w:asciiTheme="minorHAnsi" w:hAnsiTheme="minorHAnsi" w:cstheme="minorHAnsi"/>
          <w:sz w:val="20"/>
          <w:szCs w:val="20"/>
          <w:lang w:val="en-GB"/>
        </w:rPr>
        <w:t>At a country level, the correlation between “language barrier” in R4 and R5 is .94, between mentally or physically unable .82, and between unavailable</w:t>
      </w:r>
      <w:r w:rsidR="00F97146">
        <w:rPr>
          <w:rFonts w:asciiTheme="minorHAnsi" w:hAnsiTheme="minorHAnsi" w:cstheme="minorHAnsi"/>
          <w:sz w:val="20"/>
          <w:szCs w:val="20"/>
          <w:lang w:val="en-GB"/>
        </w:rPr>
        <w:t>/other</w:t>
      </w:r>
      <w:r w:rsidRPr="00D80F95">
        <w:rPr>
          <w:rFonts w:asciiTheme="minorHAnsi" w:hAnsiTheme="minorHAnsi" w:cstheme="minorHAnsi"/>
          <w:sz w:val="20"/>
          <w:szCs w:val="20"/>
          <w:lang w:val="en-GB"/>
        </w:rPr>
        <w:t xml:space="preserve"> .21 (the correlation between response rates is .74). </w:t>
      </w:r>
      <w:r w:rsidR="00F97146">
        <w:rPr>
          <w:rFonts w:asciiTheme="minorHAnsi" w:hAnsiTheme="minorHAnsi" w:cstheme="minorHAnsi"/>
          <w:sz w:val="20"/>
          <w:szCs w:val="20"/>
          <w:lang w:val="en-GB"/>
        </w:rPr>
        <w:t>The different patterns for unavailable/other are illustrated in figure 7.</w:t>
      </w:r>
    </w:p>
    <w:p w:rsidR="00245EC3" w:rsidRPr="00D80F95" w:rsidRDefault="00245EC3" w:rsidP="00245EC3">
      <w:pPr>
        <w:spacing w:after="200" w:line="276" w:lineRule="auto"/>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From these figures it is clear that “not able” is a sizeable factor behind nonresponse </w:t>
      </w:r>
      <w:r w:rsidR="00D44DCC" w:rsidRPr="00D80F95">
        <w:rPr>
          <w:rFonts w:asciiTheme="minorHAnsi" w:hAnsiTheme="minorHAnsi" w:cstheme="minorHAnsi"/>
          <w:sz w:val="20"/>
          <w:szCs w:val="20"/>
          <w:lang w:val="en-GB"/>
        </w:rPr>
        <w:t>in some countries, almost non-existent in other countries, an</w:t>
      </w:r>
      <w:r w:rsidRPr="00D80F95">
        <w:rPr>
          <w:rFonts w:asciiTheme="minorHAnsi" w:hAnsiTheme="minorHAnsi" w:cstheme="minorHAnsi"/>
          <w:sz w:val="20"/>
          <w:szCs w:val="20"/>
          <w:lang w:val="en-GB"/>
        </w:rPr>
        <w:t>d should not be ignored.</w:t>
      </w:r>
      <w:r w:rsidR="00D44DCC" w:rsidRPr="00D80F95">
        <w:rPr>
          <w:rFonts w:asciiTheme="minorHAnsi" w:hAnsiTheme="minorHAnsi" w:cstheme="minorHAnsi"/>
          <w:sz w:val="20"/>
          <w:szCs w:val="20"/>
          <w:lang w:val="en-GB"/>
        </w:rPr>
        <w:t xml:space="preserve"> It is also clear that “not available/other” can be a large factor, may be confounded with noncontact and is hard to interpret.</w:t>
      </w:r>
    </w:p>
    <w:p w:rsidR="00D80F95" w:rsidRDefault="00D80F95">
      <w:pPr>
        <w:spacing w:after="200" w:line="276" w:lineRule="auto"/>
        <w:rPr>
          <w:rFonts w:asciiTheme="minorHAnsi" w:hAnsiTheme="minorHAnsi" w:cstheme="minorHAnsi"/>
          <w:sz w:val="20"/>
          <w:szCs w:val="20"/>
          <w:lang w:val="en-GB"/>
        </w:rPr>
      </w:pPr>
      <w:r>
        <w:rPr>
          <w:rFonts w:asciiTheme="minorHAnsi" w:hAnsiTheme="minorHAnsi" w:cstheme="minorHAnsi"/>
          <w:sz w:val="20"/>
          <w:szCs w:val="20"/>
          <w:lang w:val="en-GB"/>
        </w:rPr>
        <w:br w:type="page"/>
      </w:r>
    </w:p>
    <w:p w:rsidR="009727C4" w:rsidRPr="00D80F95" w:rsidRDefault="009727C4" w:rsidP="009727C4">
      <w:pPr>
        <w:pStyle w:val="Geenafstand"/>
        <w:rPr>
          <w:rFonts w:asciiTheme="minorHAnsi" w:hAnsiTheme="minorHAnsi" w:cstheme="minorHAnsi"/>
          <w:sz w:val="18"/>
          <w:szCs w:val="18"/>
          <w:lang w:val="en-GB"/>
        </w:rPr>
      </w:pPr>
      <w:r w:rsidRPr="00D80F95">
        <w:rPr>
          <w:rFonts w:asciiTheme="minorHAnsi" w:hAnsiTheme="minorHAnsi" w:cstheme="minorHAnsi"/>
          <w:sz w:val="18"/>
          <w:szCs w:val="18"/>
          <w:lang w:val="en-GB"/>
        </w:rPr>
        <w:lastRenderedPageBreak/>
        <w:t xml:space="preserve">Figure </w:t>
      </w:r>
      <w:r w:rsidR="00245EC3" w:rsidRPr="00D80F95">
        <w:rPr>
          <w:rFonts w:asciiTheme="minorHAnsi" w:hAnsiTheme="minorHAnsi" w:cstheme="minorHAnsi"/>
          <w:sz w:val="18"/>
          <w:szCs w:val="18"/>
          <w:lang w:val="en-GB"/>
        </w:rPr>
        <w:t>6</w:t>
      </w:r>
      <w:r w:rsidRPr="00D80F95">
        <w:rPr>
          <w:rFonts w:asciiTheme="minorHAnsi" w:hAnsiTheme="minorHAnsi" w:cstheme="minorHAnsi"/>
          <w:sz w:val="18"/>
          <w:szCs w:val="18"/>
          <w:lang w:val="en-GB"/>
        </w:rPr>
        <w:t>. Language problems, and mentally or physically unable as percentage of eligible sample units, ESS R4 (NSD, 2010)</w:t>
      </w:r>
    </w:p>
    <w:p w:rsidR="003B53C2" w:rsidRPr="00D80F95" w:rsidRDefault="009727C4">
      <w:pPr>
        <w:spacing w:after="200" w:line="276" w:lineRule="auto"/>
        <w:rPr>
          <w:rFonts w:asciiTheme="minorHAnsi" w:hAnsiTheme="minorHAnsi" w:cstheme="minorHAnsi"/>
          <w:sz w:val="20"/>
          <w:szCs w:val="20"/>
          <w:lang w:val="en-GB"/>
        </w:rPr>
      </w:pPr>
      <w:r w:rsidRPr="00D80F95">
        <w:rPr>
          <w:rFonts w:asciiTheme="minorHAnsi" w:hAnsiTheme="minorHAnsi" w:cstheme="minorHAnsi"/>
          <w:noProof/>
          <w:sz w:val="20"/>
          <w:szCs w:val="20"/>
        </w:rPr>
        <w:drawing>
          <wp:inline distT="0" distB="0" distL="0" distR="0">
            <wp:extent cx="5760720" cy="3765353"/>
            <wp:effectExtent l="19050" t="0" r="11430" b="6547"/>
            <wp:docPr id="6"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7146" w:rsidRDefault="00F97146">
      <w:pPr>
        <w:spacing w:after="200" w:line="276" w:lineRule="auto"/>
        <w:rPr>
          <w:rFonts w:asciiTheme="minorHAnsi" w:hAnsiTheme="minorHAnsi" w:cstheme="minorHAnsi"/>
          <w:sz w:val="18"/>
          <w:szCs w:val="18"/>
          <w:lang w:val="en-GB"/>
        </w:rPr>
      </w:pPr>
      <w:r w:rsidRPr="00D80F95">
        <w:rPr>
          <w:rFonts w:asciiTheme="minorHAnsi" w:hAnsiTheme="minorHAnsi" w:cstheme="minorHAnsi"/>
          <w:sz w:val="18"/>
          <w:szCs w:val="18"/>
          <w:lang w:val="en-GB"/>
        </w:rPr>
        <w:t xml:space="preserve">Figure </w:t>
      </w:r>
      <w:r>
        <w:rPr>
          <w:rFonts w:asciiTheme="minorHAnsi" w:hAnsiTheme="minorHAnsi" w:cstheme="minorHAnsi"/>
          <w:sz w:val="18"/>
          <w:szCs w:val="18"/>
          <w:lang w:val="en-GB"/>
        </w:rPr>
        <w:t>7</w:t>
      </w:r>
      <w:r w:rsidRPr="00D80F95">
        <w:rPr>
          <w:rFonts w:asciiTheme="minorHAnsi" w:hAnsiTheme="minorHAnsi" w:cstheme="minorHAnsi"/>
          <w:sz w:val="18"/>
          <w:szCs w:val="18"/>
          <w:lang w:val="en-GB"/>
        </w:rPr>
        <w:t xml:space="preserve">. </w:t>
      </w:r>
      <w:r>
        <w:rPr>
          <w:rFonts w:asciiTheme="minorHAnsi" w:hAnsiTheme="minorHAnsi" w:cstheme="minorHAnsi"/>
          <w:sz w:val="18"/>
          <w:szCs w:val="18"/>
          <w:lang w:val="en-GB"/>
        </w:rPr>
        <w:t xml:space="preserve">Not available/other in ESS R4 and R5 </w:t>
      </w:r>
      <w:r w:rsidRPr="00D80F95">
        <w:rPr>
          <w:rFonts w:asciiTheme="minorHAnsi" w:hAnsiTheme="minorHAnsi" w:cstheme="minorHAnsi"/>
          <w:sz w:val="18"/>
          <w:szCs w:val="18"/>
          <w:lang w:val="en-GB"/>
        </w:rPr>
        <w:t>(NSD, 2010</w:t>
      </w:r>
      <w:r>
        <w:rPr>
          <w:rFonts w:asciiTheme="minorHAnsi" w:hAnsiTheme="minorHAnsi" w:cstheme="minorHAnsi"/>
          <w:sz w:val="18"/>
          <w:szCs w:val="18"/>
          <w:lang w:val="en-GB"/>
        </w:rPr>
        <w:t>, 2012</w:t>
      </w:r>
      <w:r w:rsidRPr="00D80F95">
        <w:rPr>
          <w:rFonts w:asciiTheme="minorHAnsi" w:hAnsiTheme="minorHAnsi" w:cstheme="minorHAnsi"/>
          <w:sz w:val="18"/>
          <w:szCs w:val="18"/>
          <w:lang w:val="en-GB"/>
        </w:rPr>
        <w:t>)</w:t>
      </w:r>
    </w:p>
    <w:p w:rsidR="00F97146" w:rsidRDefault="00F97146">
      <w:pPr>
        <w:spacing w:after="200" w:line="276" w:lineRule="auto"/>
        <w:rPr>
          <w:rFonts w:asciiTheme="minorHAnsi" w:hAnsiTheme="minorHAnsi" w:cstheme="minorHAnsi"/>
          <w:b/>
          <w:sz w:val="20"/>
          <w:szCs w:val="20"/>
          <w:lang w:val="en-GB"/>
        </w:rPr>
      </w:pPr>
      <w:r w:rsidRPr="00F97146">
        <w:rPr>
          <w:rFonts w:asciiTheme="minorHAnsi" w:hAnsiTheme="minorHAnsi" w:cstheme="minorHAnsi"/>
          <w:b/>
          <w:sz w:val="20"/>
          <w:szCs w:val="20"/>
          <w:lang w:val="en-GB"/>
        </w:rPr>
        <w:drawing>
          <wp:inline distT="0" distB="0" distL="0" distR="0">
            <wp:extent cx="5760720" cy="3765353"/>
            <wp:effectExtent l="19050" t="0" r="11430" b="6547"/>
            <wp:docPr id="8"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heme="minorHAnsi" w:hAnsiTheme="minorHAnsi" w:cstheme="minorHAnsi"/>
          <w:b/>
          <w:sz w:val="20"/>
          <w:szCs w:val="20"/>
          <w:lang w:val="en-GB"/>
        </w:rPr>
        <w:br w:type="page"/>
      </w:r>
    </w:p>
    <w:p w:rsidR="003B53C2" w:rsidRPr="00D80F95" w:rsidRDefault="003B53C2">
      <w:pPr>
        <w:spacing w:after="200" w:line="276" w:lineRule="auto"/>
        <w:rPr>
          <w:rFonts w:asciiTheme="minorHAnsi" w:hAnsiTheme="minorHAnsi" w:cstheme="minorHAnsi"/>
          <w:b/>
          <w:sz w:val="20"/>
          <w:szCs w:val="20"/>
          <w:lang w:val="en-GB"/>
        </w:rPr>
      </w:pPr>
      <w:r w:rsidRPr="00D80F95">
        <w:rPr>
          <w:rFonts w:asciiTheme="minorHAnsi" w:hAnsiTheme="minorHAnsi" w:cstheme="minorHAnsi"/>
          <w:b/>
          <w:sz w:val="20"/>
          <w:szCs w:val="20"/>
          <w:lang w:val="en-GB"/>
        </w:rPr>
        <w:lastRenderedPageBreak/>
        <w:t>What can cause the differences between countries?</w:t>
      </w:r>
    </w:p>
    <w:p w:rsidR="003B53C2" w:rsidRPr="00D80F95" w:rsidRDefault="003B53C2" w:rsidP="003B53C2">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There are several reasons why the “not able/other” rates could differ across countries.</w:t>
      </w:r>
    </w:p>
    <w:p w:rsidR="003B53C2" w:rsidRPr="00D80F95" w:rsidRDefault="003B53C2" w:rsidP="003B53C2">
      <w:pPr>
        <w:pStyle w:val="Geenafstand"/>
        <w:rPr>
          <w:rFonts w:asciiTheme="minorHAnsi" w:hAnsiTheme="minorHAnsi" w:cstheme="minorHAnsi"/>
          <w:sz w:val="20"/>
          <w:szCs w:val="20"/>
          <w:lang w:val="en-GB"/>
        </w:rPr>
      </w:pPr>
    </w:p>
    <w:p w:rsidR="003B53C2" w:rsidRPr="00D80F95" w:rsidRDefault="003B53C2" w:rsidP="003B53C2">
      <w:pPr>
        <w:pStyle w:val="Geenafstand"/>
        <w:numPr>
          <w:ilvl w:val="0"/>
          <w:numId w:val="1"/>
        </w:numPr>
        <w:rPr>
          <w:rFonts w:asciiTheme="minorHAnsi" w:hAnsiTheme="minorHAnsi" w:cstheme="minorHAnsi"/>
          <w:i/>
          <w:sz w:val="20"/>
          <w:szCs w:val="20"/>
          <w:lang w:val="en-GB"/>
        </w:rPr>
      </w:pPr>
      <w:r w:rsidRPr="00D80F95">
        <w:rPr>
          <w:rFonts w:asciiTheme="minorHAnsi" w:hAnsiTheme="minorHAnsi" w:cstheme="minorHAnsi"/>
          <w:i/>
          <w:sz w:val="20"/>
          <w:szCs w:val="20"/>
          <w:lang w:val="en-GB"/>
        </w:rPr>
        <w:t>Real differences</w:t>
      </w:r>
    </w:p>
    <w:p w:rsidR="003B53C2" w:rsidRPr="00D80F95" w:rsidRDefault="003B53C2" w:rsidP="003B53C2">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Firstly, of course there could be real differences between countries. </w:t>
      </w:r>
      <w:r w:rsidR="007071FC" w:rsidRPr="00D80F95">
        <w:rPr>
          <w:rFonts w:asciiTheme="minorHAnsi" w:hAnsiTheme="minorHAnsi" w:cstheme="minorHAnsi"/>
          <w:sz w:val="20"/>
          <w:szCs w:val="20"/>
          <w:lang w:val="en-GB"/>
        </w:rPr>
        <w:t>For instance, i</w:t>
      </w:r>
      <w:r w:rsidRPr="00D80F95">
        <w:rPr>
          <w:rFonts w:asciiTheme="minorHAnsi" w:hAnsiTheme="minorHAnsi" w:cstheme="minorHAnsi"/>
          <w:sz w:val="20"/>
          <w:szCs w:val="20"/>
          <w:lang w:val="en-GB"/>
        </w:rPr>
        <w:t xml:space="preserve">n emigration countries one could expect more people to be unavailable during the entire fieldwork period. An argument against this is the low correlation between R4 and R5, and the fact that </w:t>
      </w:r>
      <w:r w:rsidR="002B0603" w:rsidRPr="00D80F95">
        <w:rPr>
          <w:rFonts w:asciiTheme="minorHAnsi" w:hAnsiTheme="minorHAnsi" w:cstheme="minorHAnsi"/>
          <w:sz w:val="20"/>
          <w:szCs w:val="20"/>
          <w:lang w:val="en-GB"/>
        </w:rPr>
        <w:t>t</w:t>
      </w:r>
      <w:r w:rsidRPr="00D80F95">
        <w:rPr>
          <w:rFonts w:asciiTheme="minorHAnsi" w:hAnsiTheme="minorHAnsi" w:cstheme="minorHAnsi"/>
          <w:sz w:val="20"/>
          <w:szCs w:val="20"/>
          <w:lang w:val="en-GB"/>
        </w:rPr>
        <w:t>raditional emigration countries do not stand out here, as the “unavailable</w:t>
      </w:r>
      <w:r w:rsidR="00F54478" w:rsidRPr="00D80F95">
        <w:rPr>
          <w:rFonts w:asciiTheme="minorHAnsi" w:hAnsiTheme="minorHAnsi" w:cstheme="minorHAnsi"/>
          <w:sz w:val="20"/>
          <w:szCs w:val="20"/>
          <w:lang w:val="en-GB"/>
        </w:rPr>
        <w:t>/other</w:t>
      </w:r>
      <w:r w:rsidRPr="00D80F95">
        <w:rPr>
          <w:rFonts w:asciiTheme="minorHAnsi" w:hAnsiTheme="minorHAnsi" w:cstheme="minorHAnsi"/>
          <w:sz w:val="20"/>
          <w:szCs w:val="20"/>
          <w:lang w:val="en-GB"/>
        </w:rPr>
        <w:t xml:space="preserve">” </w:t>
      </w:r>
      <w:r w:rsidR="00FC333D" w:rsidRPr="00D80F95">
        <w:rPr>
          <w:rFonts w:asciiTheme="minorHAnsi" w:hAnsiTheme="minorHAnsi" w:cstheme="minorHAnsi"/>
          <w:sz w:val="20"/>
          <w:szCs w:val="20"/>
          <w:lang w:val="en-GB"/>
        </w:rPr>
        <w:t>rate is</w:t>
      </w:r>
      <w:r w:rsidRPr="00D80F95">
        <w:rPr>
          <w:rFonts w:asciiTheme="minorHAnsi" w:hAnsiTheme="minorHAnsi" w:cstheme="minorHAnsi"/>
          <w:sz w:val="20"/>
          <w:szCs w:val="20"/>
          <w:lang w:val="en-GB"/>
        </w:rPr>
        <w:t xml:space="preserve"> also pretty high in Finland and the UK.</w:t>
      </w:r>
      <w:r w:rsidR="002B0603" w:rsidRPr="00D80F95">
        <w:rPr>
          <w:rFonts w:asciiTheme="minorHAnsi" w:hAnsiTheme="minorHAnsi" w:cstheme="minorHAnsi"/>
          <w:sz w:val="20"/>
          <w:szCs w:val="20"/>
          <w:lang w:val="en-GB"/>
        </w:rPr>
        <w:t xml:space="preserve"> The high correlation between language problems in both rounds could indicate that </w:t>
      </w:r>
      <w:r w:rsidR="00FC333D" w:rsidRPr="00D80F95">
        <w:rPr>
          <w:rFonts w:asciiTheme="minorHAnsi" w:hAnsiTheme="minorHAnsi" w:cstheme="minorHAnsi"/>
          <w:sz w:val="20"/>
          <w:szCs w:val="20"/>
          <w:lang w:val="en-GB"/>
        </w:rPr>
        <w:t>these language problems</w:t>
      </w:r>
      <w:r w:rsidR="002B0603" w:rsidRPr="00D80F95">
        <w:rPr>
          <w:rFonts w:asciiTheme="minorHAnsi" w:hAnsiTheme="minorHAnsi" w:cstheme="minorHAnsi"/>
          <w:sz w:val="20"/>
          <w:szCs w:val="20"/>
          <w:lang w:val="en-GB"/>
        </w:rPr>
        <w:t xml:space="preserve"> are a characteristic of the population. This correlation could also be due, however to other organisational factors (see below).</w:t>
      </w:r>
    </w:p>
    <w:p w:rsidR="003B53C2" w:rsidRPr="00D80F95" w:rsidRDefault="003B53C2" w:rsidP="003B53C2">
      <w:pPr>
        <w:pStyle w:val="Geenafstand"/>
        <w:rPr>
          <w:rFonts w:asciiTheme="minorHAnsi" w:hAnsiTheme="minorHAnsi" w:cstheme="minorHAnsi"/>
          <w:sz w:val="20"/>
          <w:szCs w:val="20"/>
          <w:lang w:val="en-GB"/>
        </w:rPr>
      </w:pPr>
    </w:p>
    <w:p w:rsidR="003B53C2" w:rsidRPr="00D80F95" w:rsidRDefault="007071FC" w:rsidP="003B53C2">
      <w:pPr>
        <w:pStyle w:val="Geenafstand"/>
        <w:numPr>
          <w:ilvl w:val="0"/>
          <w:numId w:val="1"/>
        </w:numPr>
        <w:rPr>
          <w:rFonts w:asciiTheme="minorHAnsi" w:hAnsiTheme="minorHAnsi" w:cstheme="minorHAnsi"/>
          <w:i/>
          <w:sz w:val="20"/>
          <w:szCs w:val="20"/>
          <w:lang w:val="en-GB"/>
        </w:rPr>
      </w:pPr>
      <w:r w:rsidRPr="00D80F95">
        <w:rPr>
          <w:rFonts w:asciiTheme="minorHAnsi" w:hAnsiTheme="minorHAnsi" w:cstheme="minorHAnsi"/>
          <w:i/>
          <w:sz w:val="20"/>
          <w:szCs w:val="20"/>
          <w:lang w:val="en-GB"/>
        </w:rPr>
        <w:t>Incorrect definition target population</w:t>
      </w:r>
    </w:p>
    <w:p w:rsidR="007071FC" w:rsidRPr="00D80F95" w:rsidRDefault="007071FC" w:rsidP="007071FC">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There is some evidence that occasionally “not able” groups are removed from the total number of sample units. E and F would then be counted as ineligible, and the response rate would artificially be enhanced. </w:t>
      </w:r>
    </w:p>
    <w:p w:rsidR="007071FC" w:rsidRPr="00D80F95" w:rsidRDefault="007071FC" w:rsidP="007071FC">
      <w:pPr>
        <w:pStyle w:val="Geenafstand"/>
        <w:rPr>
          <w:rFonts w:asciiTheme="minorHAnsi" w:hAnsiTheme="minorHAnsi" w:cstheme="minorHAnsi"/>
          <w:sz w:val="20"/>
          <w:szCs w:val="20"/>
          <w:lang w:val="en-GB"/>
        </w:rPr>
      </w:pPr>
    </w:p>
    <w:p w:rsidR="007071FC" w:rsidRPr="00D80F95" w:rsidRDefault="00CC7554" w:rsidP="003B53C2">
      <w:pPr>
        <w:pStyle w:val="Geenafstand"/>
        <w:numPr>
          <w:ilvl w:val="0"/>
          <w:numId w:val="1"/>
        </w:numPr>
        <w:rPr>
          <w:rFonts w:asciiTheme="minorHAnsi" w:hAnsiTheme="minorHAnsi" w:cstheme="minorHAnsi"/>
          <w:i/>
          <w:sz w:val="20"/>
          <w:szCs w:val="20"/>
          <w:lang w:val="en-GB"/>
        </w:rPr>
      </w:pPr>
      <w:r w:rsidRPr="00D80F95">
        <w:rPr>
          <w:rFonts w:asciiTheme="minorHAnsi" w:hAnsiTheme="minorHAnsi" w:cstheme="minorHAnsi"/>
          <w:i/>
          <w:sz w:val="20"/>
          <w:szCs w:val="20"/>
          <w:lang w:val="en-GB"/>
        </w:rPr>
        <w:t>Calculation final disposition codes</w:t>
      </w:r>
    </w:p>
    <w:p w:rsidR="00CC7554" w:rsidRPr="00D80F95" w:rsidRDefault="00CC7554" w:rsidP="00CC7554">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In the ESS countries calculate final disposition codes, and deliver their Contact Form</w:t>
      </w:r>
      <w:r w:rsidR="00F54478" w:rsidRPr="00D80F95">
        <w:rPr>
          <w:rFonts w:asciiTheme="minorHAnsi" w:hAnsiTheme="minorHAnsi" w:cstheme="minorHAnsi"/>
          <w:sz w:val="20"/>
          <w:szCs w:val="20"/>
          <w:lang w:val="en-GB"/>
        </w:rPr>
        <w:t xml:space="preserve"> data </w:t>
      </w:r>
      <w:r w:rsidRPr="00D80F95">
        <w:rPr>
          <w:rFonts w:asciiTheme="minorHAnsi" w:hAnsiTheme="minorHAnsi" w:cstheme="minorHAnsi"/>
          <w:sz w:val="20"/>
          <w:szCs w:val="20"/>
          <w:lang w:val="en-GB"/>
        </w:rPr>
        <w:t xml:space="preserve">to the Archive. From these forms standardised </w:t>
      </w:r>
      <w:r w:rsidR="00245EC3" w:rsidRPr="00D80F95">
        <w:rPr>
          <w:rFonts w:asciiTheme="minorHAnsi" w:hAnsiTheme="minorHAnsi" w:cstheme="minorHAnsi"/>
          <w:sz w:val="20"/>
          <w:szCs w:val="20"/>
          <w:lang w:val="en-GB"/>
        </w:rPr>
        <w:t xml:space="preserve">outcomes are calculated according to </w:t>
      </w:r>
      <w:r w:rsidR="007D1B6D">
        <w:rPr>
          <w:rFonts w:asciiTheme="minorHAnsi" w:hAnsiTheme="minorHAnsi" w:cstheme="minorHAnsi"/>
          <w:sz w:val="20"/>
          <w:szCs w:val="20"/>
          <w:lang w:val="en-GB"/>
        </w:rPr>
        <w:t>the</w:t>
      </w:r>
      <w:r w:rsidR="00245EC3" w:rsidRPr="00D80F95">
        <w:rPr>
          <w:rFonts w:asciiTheme="minorHAnsi" w:hAnsiTheme="minorHAnsi" w:cstheme="minorHAnsi"/>
          <w:sz w:val="20"/>
          <w:szCs w:val="20"/>
          <w:lang w:val="en-GB"/>
        </w:rPr>
        <w:t xml:space="preserve"> priority scheme</w:t>
      </w:r>
      <w:r w:rsidR="007D1B6D">
        <w:rPr>
          <w:rFonts w:asciiTheme="minorHAnsi" w:hAnsiTheme="minorHAnsi" w:cstheme="minorHAnsi"/>
          <w:sz w:val="20"/>
          <w:szCs w:val="20"/>
          <w:lang w:val="en-GB"/>
        </w:rPr>
        <w:t xml:space="preserve"> mentioned above</w:t>
      </w:r>
      <w:r w:rsidR="00245EC3" w:rsidRPr="00D80F95">
        <w:rPr>
          <w:rFonts w:asciiTheme="minorHAnsi" w:hAnsiTheme="minorHAnsi" w:cstheme="minorHAnsi"/>
          <w:sz w:val="20"/>
          <w:szCs w:val="20"/>
          <w:lang w:val="en-GB"/>
        </w:rPr>
        <w:t xml:space="preserve">. A refusal followed by a </w:t>
      </w:r>
      <w:r w:rsidR="00F54478" w:rsidRPr="00D80F95">
        <w:rPr>
          <w:rFonts w:asciiTheme="minorHAnsi" w:hAnsiTheme="minorHAnsi" w:cstheme="minorHAnsi"/>
          <w:sz w:val="20"/>
          <w:szCs w:val="20"/>
          <w:lang w:val="en-GB"/>
        </w:rPr>
        <w:t>noncontact</w:t>
      </w:r>
      <w:r w:rsidR="00245EC3" w:rsidRPr="00D80F95">
        <w:rPr>
          <w:rFonts w:asciiTheme="minorHAnsi" w:hAnsiTheme="minorHAnsi" w:cstheme="minorHAnsi"/>
          <w:sz w:val="20"/>
          <w:szCs w:val="20"/>
          <w:lang w:val="en-GB"/>
        </w:rPr>
        <w:t xml:space="preserve"> should be coded as a refusal</w:t>
      </w:r>
      <w:r w:rsidR="00F54478" w:rsidRPr="00D80F95">
        <w:rPr>
          <w:rFonts w:asciiTheme="minorHAnsi" w:hAnsiTheme="minorHAnsi" w:cstheme="minorHAnsi"/>
          <w:sz w:val="20"/>
          <w:szCs w:val="20"/>
          <w:lang w:val="en-GB"/>
        </w:rPr>
        <w:t>, for instance</w:t>
      </w:r>
      <w:r w:rsidR="00245EC3" w:rsidRPr="00D80F95">
        <w:rPr>
          <w:rFonts w:asciiTheme="minorHAnsi" w:hAnsiTheme="minorHAnsi" w:cstheme="minorHAnsi"/>
          <w:sz w:val="20"/>
          <w:szCs w:val="20"/>
          <w:lang w:val="en-GB"/>
        </w:rPr>
        <w:t xml:space="preserve">. </w:t>
      </w:r>
      <w:r w:rsidR="00F54478" w:rsidRPr="00D80F95">
        <w:rPr>
          <w:rFonts w:asciiTheme="minorHAnsi" w:hAnsiTheme="minorHAnsi" w:cstheme="minorHAnsi"/>
          <w:sz w:val="20"/>
          <w:szCs w:val="20"/>
          <w:lang w:val="en-GB"/>
        </w:rPr>
        <w:t>At present t</w:t>
      </w:r>
      <w:r w:rsidR="00245EC3" w:rsidRPr="00D80F95">
        <w:rPr>
          <w:rFonts w:asciiTheme="minorHAnsi" w:hAnsiTheme="minorHAnsi" w:cstheme="minorHAnsi"/>
          <w:sz w:val="20"/>
          <w:szCs w:val="20"/>
          <w:lang w:val="en-GB"/>
        </w:rPr>
        <w:t xml:space="preserve">here are </w:t>
      </w:r>
      <w:r w:rsidR="00F54478" w:rsidRPr="00D80F95">
        <w:rPr>
          <w:rFonts w:asciiTheme="minorHAnsi" w:hAnsiTheme="minorHAnsi" w:cstheme="minorHAnsi"/>
          <w:sz w:val="20"/>
          <w:szCs w:val="20"/>
          <w:lang w:val="en-GB"/>
        </w:rPr>
        <w:t xml:space="preserve"> in some cases substantial </w:t>
      </w:r>
      <w:r w:rsidR="00245EC3" w:rsidRPr="00D80F95">
        <w:rPr>
          <w:rFonts w:asciiTheme="minorHAnsi" w:hAnsiTheme="minorHAnsi" w:cstheme="minorHAnsi"/>
          <w:sz w:val="20"/>
          <w:szCs w:val="20"/>
          <w:lang w:val="en-GB"/>
        </w:rPr>
        <w:t>differences between the national disposition codes and the standardised, centrally calculated codes (although the same priority scheme should be followed). Sadly, not all countries</w:t>
      </w:r>
      <w:r w:rsidR="00F54478" w:rsidRPr="00D80F95">
        <w:rPr>
          <w:rFonts w:asciiTheme="minorHAnsi" w:hAnsiTheme="minorHAnsi" w:cstheme="minorHAnsi"/>
          <w:sz w:val="20"/>
          <w:szCs w:val="20"/>
          <w:lang w:val="en-GB"/>
        </w:rPr>
        <w:t xml:space="preserve"> provide </w:t>
      </w:r>
      <w:r w:rsidR="00245EC3" w:rsidRPr="00D80F95">
        <w:rPr>
          <w:rFonts w:asciiTheme="minorHAnsi" w:hAnsiTheme="minorHAnsi" w:cstheme="minorHAnsi"/>
          <w:sz w:val="20"/>
          <w:szCs w:val="20"/>
          <w:lang w:val="en-GB"/>
        </w:rPr>
        <w:t xml:space="preserve">contact forms </w:t>
      </w:r>
      <w:r w:rsidR="00F54478" w:rsidRPr="00D80F95">
        <w:rPr>
          <w:rFonts w:asciiTheme="minorHAnsi" w:hAnsiTheme="minorHAnsi" w:cstheme="minorHAnsi"/>
          <w:sz w:val="20"/>
          <w:szCs w:val="20"/>
          <w:lang w:val="en-GB"/>
        </w:rPr>
        <w:t xml:space="preserve">that </w:t>
      </w:r>
      <w:r w:rsidR="00245EC3" w:rsidRPr="00D80F95">
        <w:rPr>
          <w:rFonts w:asciiTheme="minorHAnsi" w:hAnsiTheme="minorHAnsi" w:cstheme="minorHAnsi"/>
          <w:sz w:val="20"/>
          <w:szCs w:val="20"/>
          <w:lang w:val="en-GB"/>
        </w:rPr>
        <w:t>are of good enough quality and complete enough to calculate standardised outcomes.</w:t>
      </w:r>
    </w:p>
    <w:p w:rsidR="00F54478" w:rsidRPr="00D80F95" w:rsidRDefault="00F54478" w:rsidP="00F54478">
      <w:pPr>
        <w:pStyle w:val="Geenafstand"/>
        <w:ind w:left="360"/>
        <w:rPr>
          <w:rFonts w:asciiTheme="minorHAnsi" w:hAnsiTheme="minorHAnsi" w:cstheme="minorHAnsi"/>
          <w:i/>
          <w:sz w:val="20"/>
          <w:szCs w:val="20"/>
          <w:lang w:val="en-GB"/>
        </w:rPr>
      </w:pPr>
    </w:p>
    <w:p w:rsidR="00F54478" w:rsidRPr="00D80F95" w:rsidRDefault="00F54478" w:rsidP="00F54478">
      <w:pPr>
        <w:pStyle w:val="Geenafstand"/>
        <w:numPr>
          <w:ilvl w:val="0"/>
          <w:numId w:val="1"/>
        </w:numPr>
        <w:rPr>
          <w:rFonts w:asciiTheme="minorHAnsi" w:hAnsiTheme="minorHAnsi" w:cstheme="minorHAnsi"/>
          <w:i/>
          <w:sz w:val="20"/>
          <w:szCs w:val="20"/>
          <w:lang w:val="en-GB"/>
        </w:rPr>
      </w:pPr>
      <w:r w:rsidRPr="00D80F95">
        <w:rPr>
          <w:rFonts w:asciiTheme="minorHAnsi" w:hAnsiTheme="minorHAnsi" w:cstheme="minorHAnsi"/>
          <w:i/>
          <w:sz w:val="20"/>
          <w:szCs w:val="20"/>
          <w:lang w:val="en-GB"/>
        </w:rPr>
        <w:t>Sampling frame</w:t>
      </w:r>
    </w:p>
    <w:p w:rsidR="007071FC" w:rsidRDefault="007071FC" w:rsidP="00362D7A">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ESS countries use individual, household and address sample, depending on the best alternative available. It could happen that in non-individual samples it is much </w:t>
      </w:r>
      <w:r w:rsidR="00FC333D" w:rsidRPr="00D80F95">
        <w:rPr>
          <w:rFonts w:asciiTheme="minorHAnsi" w:hAnsiTheme="minorHAnsi" w:cstheme="minorHAnsi"/>
          <w:sz w:val="20"/>
          <w:szCs w:val="20"/>
          <w:lang w:val="en-GB"/>
        </w:rPr>
        <w:t>easier</w:t>
      </w:r>
      <w:r w:rsidRPr="00D80F95">
        <w:rPr>
          <w:rFonts w:asciiTheme="minorHAnsi" w:hAnsiTheme="minorHAnsi" w:cstheme="minorHAnsi"/>
          <w:sz w:val="20"/>
          <w:szCs w:val="20"/>
          <w:lang w:val="en-GB"/>
        </w:rPr>
        <w:t xml:space="preserve"> to substitute someone (undocumented) for an unavailable or unable household member. The percentage of unable seems to be higher in countries that use individual samples.</w:t>
      </w:r>
    </w:p>
    <w:p w:rsidR="00D80F95" w:rsidRPr="00D80F95" w:rsidRDefault="00D80F95" w:rsidP="00362D7A">
      <w:pPr>
        <w:pStyle w:val="Geenafstand"/>
        <w:rPr>
          <w:rFonts w:asciiTheme="minorHAnsi" w:hAnsiTheme="minorHAnsi" w:cstheme="minorHAnsi"/>
          <w:sz w:val="20"/>
          <w:szCs w:val="20"/>
          <w:lang w:val="en-GB"/>
        </w:rPr>
      </w:pPr>
    </w:p>
    <w:p w:rsidR="003B53C2" w:rsidRPr="00D80F95" w:rsidRDefault="003B53C2" w:rsidP="003B53C2">
      <w:pPr>
        <w:pStyle w:val="Geenafstand"/>
        <w:numPr>
          <w:ilvl w:val="0"/>
          <w:numId w:val="1"/>
        </w:numPr>
        <w:rPr>
          <w:rFonts w:asciiTheme="minorHAnsi" w:hAnsiTheme="minorHAnsi" w:cstheme="minorHAnsi"/>
          <w:i/>
          <w:sz w:val="20"/>
          <w:szCs w:val="20"/>
          <w:lang w:val="en-GB"/>
        </w:rPr>
      </w:pPr>
      <w:r w:rsidRPr="00D80F95">
        <w:rPr>
          <w:rFonts w:asciiTheme="minorHAnsi" w:hAnsiTheme="minorHAnsi" w:cstheme="minorHAnsi"/>
          <w:i/>
          <w:sz w:val="20"/>
          <w:szCs w:val="20"/>
          <w:lang w:val="en-GB"/>
        </w:rPr>
        <w:t>Recruitment mode</w:t>
      </w:r>
    </w:p>
    <w:p w:rsidR="007071FC" w:rsidRPr="00D80F95" w:rsidRDefault="007071FC" w:rsidP="007071FC">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In countries using individual samples and good coverage in the telephone register</w:t>
      </w:r>
      <w:r w:rsidR="00F97146">
        <w:rPr>
          <w:rFonts w:asciiTheme="minorHAnsi" w:hAnsiTheme="minorHAnsi" w:cstheme="minorHAnsi"/>
          <w:sz w:val="20"/>
          <w:szCs w:val="20"/>
          <w:lang w:val="en-GB"/>
        </w:rPr>
        <w:t xml:space="preserve"> (e.g. FI, NO, SE)</w:t>
      </w:r>
      <w:r w:rsidRPr="00D80F95">
        <w:rPr>
          <w:rFonts w:asciiTheme="minorHAnsi" w:hAnsiTheme="minorHAnsi" w:cstheme="minorHAnsi"/>
          <w:sz w:val="20"/>
          <w:szCs w:val="20"/>
          <w:lang w:val="en-GB"/>
        </w:rPr>
        <w:t xml:space="preserve">, respondent recruitment may be conducted by telephone. </w:t>
      </w:r>
      <w:r w:rsidR="002B0603" w:rsidRPr="00D80F95">
        <w:rPr>
          <w:rFonts w:asciiTheme="minorHAnsi" w:hAnsiTheme="minorHAnsi" w:cstheme="minorHAnsi"/>
          <w:sz w:val="20"/>
          <w:szCs w:val="20"/>
          <w:lang w:val="en-GB"/>
        </w:rPr>
        <w:t xml:space="preserve">It could be that unavailable or unable is more easily </w:t>
      </w:r>
      <w:r w:rsidR="00245EC3" w:rsidRPr="00D80F95">
        <w:rPr>
          <w:rFonts w:asciiTheme="minorHAnsi" w:hAnsiTheme="minorHAnsi" w:cstheme="minorHAnsi"/>
          <w:sz w:val="20"/>
          <w:szCs w:val="20"/>
          <w:lang w:val="en-GB"/>
        </w:rPr>
        <w:t xml:space="preserve">said and/or </w:t>
      </w:r>
      <w:r w:rsidR="002B0603" w:rsidRPr="00D80F95">
        <w:rPr>
          <w:rFonts w:asciiTheme="minorHAnsi" w:hAnsiTheme="minorHAnsi" w:cstheme="minorHAnsi"/>
          <w:sz w:val="20"/>
          <w:szCs w:val="20"/>
          <w:lang w:val="en-GB"/>
        </w:rPr>
        <w:t>accepted over the telephone.</w:t>
      </w:r>
    </w:p>
    <w:p w:rsidR="007071FC" w:rsidRPr="00D80F95" w:rsidRDefault="007071FC" w:rsidP="007071FC">
      <w:pPr>
        <w:pStyle w:val="Geenafstand"/>
        <w:rPr>
          <w:rFonts w:asciiTheme="minorHAnsi" w:hAnsiTheme="minorHAnsi" w:cstheme="minorHAnsi"/>
          <w:sz w:val="20"/>
          <w:szCs w:val="20"/>
          <w:lang w:val="en-GB"/>
        </w:rPr>
      </w:pPr>
    </w:p>
    <w:p w:rsidR="007071FC" w:rsidRPr="00D80F95" w:rsidRDefault="007071FC" w:rsidP="003B53C2">
      <w:pPr>
        <w:pStyle w:val="Geenafstand"/>
        <w:numPr>
          <w:ilvl w:val="0"/>
          <w:numId w:val="1"/>
        </w:numPr>
        <w:rPr>
          <w:rFonts w:asciiTheme="minorHAnsi" w:hAnsiTheme="minorHAnsi" w:cstheme="minorHAnsi"/>
          <w:i/>
          <w:sz w:val="20"/>
          <w:szCs w:val="20"/>
          <w:lang w:val="en-GB"/>
        </w:rPr>
      </w:pPr>
      <w:r w:rsidRPr="00D80F95">
        <w:rPr>
          <w:rFonts w:asciiTheme="minorHAnsi" w:hAnsiTheme="minorHAnsi" w:cstheme="minorHAnsi"/>
          <w:i/>
          <w:sz w:val="20"/>
          <w:szCs w:val="20"/>
          <w:lang w:val="en-GB"/>
        </w:rPr>
        <w:t>Contact form and language</w:t>
      </w:r>
    </w:p>
    <w:p w:rsidR="002B0603" w:rsidRPr="00D80F95" w:rsidRDefault="002B0603" w:rsidP="002B0603">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The contact form is translated </w:t>
      </w:r>
      <w:r w:rsidR="00362D7A" w:rsidRPr="00D80F95">
        <w:rPr>
          <w:rFonts w:asciiTheme="minorHAnsi" w:hAnsiTheme="minorHAnsi" w:cstheme="minorHAnsi"/>
          <w:sz w:val="20"/>
          <w:szCs w:val="20"/>
          <w:lang w:val="en-GB"/>
        </w:rPr>
        <w:t xml:space="preserve">in </w:t>
      </w:r>
      <w:r w:rsidRPr="00D80F95">
        <w:rPr>
          <w:rFonts w:asciiTheme="minorHAnsi" w:hAnsiTheme="minorHAnsi" w:cstheme="minorHAnsi"/>
          <w:sz w:val="20"/>
          <w:szCs w:val="20"/>
          <w:lang w:val="en-GB"/>
        </w:rPr>
        <w:t>every country except the UK and Ireland. Some countries use a proprietary form and have to translate their outcomes to the ESS categories. This means that the meaning of the categories may differ acr</w:t>
      </w:r>
      <w:r w:rsidR="00F54478" w:rsidRPr="00D80F95">
        <w:rPr>
          <w:rFonts w:asciiTheme="minorHAnsi" w:hAnsiTheme="minorHAnsi" w:cstheme="minorHAnsi"/>
          <w:sz w:val="20"/>
          <w:szCs w:val="20"/>
          <w:lang w:val="en-GB"/>
        </w:rPr>
        <w:t>oss countries, e.g., what is meant by being mentally or physically unable to cooper</w:t>
      </w:r>
      <w:r w:rsidR="00362D7A" w:rsidRPr="00D80F95">
        <w:rPr>
          <w:rFonts w:asciiTheme="minorHAnsi" w:hAnsiTheme="minorHAnsi" w:cstheme="minorHAnsi"/>
          <w:sz w:val="20"/>
          <w:szCs w:val="20"/>
          <w:lang w:val="en-GB"/>
        </w:rPr>
        <w:t xml:space="preserve">ate may differ across countries (see text CFs round </w:t>
      </w:r>
      <w:r w:rsidR="00D44DCC" w:rsidRPr="00D80F95">
        <w:rPr>
          <w:rFonts w:asciiTheme="minorHAnsi" w:hAnsiTheme="minorHAnsi" w:cstheme="minorHAnsi"/>
          <w:sz w:val="20"/>
          <w:szCs w:val="20"/>
          <w:lang w:val="en-GB"/>
        </w:rPr>
        <w:t>5 in French-speaking countries).</w:t>
      </w:r>
    </w:p>
    <w:tbl>
      <w:tblPr>
        <w:tblStyle w:val="Tabelraster"/>
        <w:tblW w:w="0" w:type="auto"/>
        <w:tblInd w:w="108" w:type="dxa"/>
        <w:tblLook w:val="04A0"/>
      </w:tblPr>
      <w:tblGrid>
        <w:gridCol w:w="1134"/>
        <w:gridCol w:w="7938"/>
      </w:tblGrid>
      <w:tr w:rsidR="00362D7A" w:rsidRPr="00D80F95" w:rsidTr="00D80F95">
        <w:tc>
          <w:tcPr>
            <w:tcW w:w="1134" w:type="dxa"/>
          </w:tcPr>
          <w:p w:rsidR="00362D7A" w:rsidRPr="00D80F95" w:rsidRDefault="00362D7A" w:rsidP="00362D7A">
            <w:pPr>
              <w:pStyle w:val="Default"/>
              <w:rPr>
                <w:rFonts w:asciiTheme="minorHAnsi" w:hAnsiTheme="minorHAnsi" w:cstheme="minorHAnsi"/>
                <w:sz w:val="18"/>
                <w:szCs w:val="18"/>
                <w:lang w:val="fr-FR"/>
              </w:rPr>
            </w:pPr>
            <w:r w:rsidRPr="00D80F95">
              <w:rPr>
                <w:rFonts w:asciiTheme="minorHAnsi" w:hAnsiTheme="minorHAnsi" w:cstheme="minorHAnsi"/>
                <w:sz w:val="18"/>
                <w:szCs w:val="18"/>
                <w:lang w:val="fr-FR"/>
              </w:rPr>
              <w:t>Belgium</w:t>
            </w:r>
          </w:p>
        </w:tc>
        <w:tc>
          <w:tcPr>
            <w:tcW w:w="7938" w:type="dxa"/>
          </w:tcPr>
          <w:p w:rsidR="00362D7A" w:rsidRPr="00D80F95" w:rsidRDefault="00362D7A" w:rsidP="00362D7A">
            <w:pPr>
              <w:pStyle w:val="Default"/>
              <w:rPr>
                <w:rFonts w:asciiTheme="minorHAnsi" w:hAnsiTheme="minorHAnsi" w:cstheme="minorHAnsi"/>
                <w:sz w:val="18"/>
                <w:szCs w:val="18"/>
                <w:lang w:val="fr-FR"/>
              </w:rPr>
            </w:pPr>
            <w:r w:rsidRPr="00D80F95">
              <w:rPr>
                <w:rFonts w:asciiTheme="minorHAnsi" w:hAnsiTheme="minorHAnsi" w:cstheme="minorHAnsi"/>
                <w:sz w:val="18"/>
                <w:szCs w:val="18"/>
                <w:lang w:val="fr-FR"/>
              </w:rPr>
              <w:t>R est mentalement ou physiquement incapable de coopérer</w:t>
            </w:r>
          </w:p>
        </w:tc>
      </w:tr>
      <w:tr w:rsidR="00362D7A" w:rsidRPr="00D80F95" w:rsidTr="00D80F95">
        <w:tc>
          <w:tcPr>
            <w:tcW w:w="1134" w:type="dxa"/>
            <w:tcBorders>
              <w:bottom w:val="single" w:sz="4" w:space="0" w:color="auto"/>
            </w:tcBorders>
          </w:tcPr>
          <w:p w:rsidR="00362D7A" w:rsidRPr="00D80F95" w:rsidRDefault="00362D7A" w:rsidP="00362D7A">
            <w:pPr>
              <w:pStyle w:val="Lijstalinea"/>
              <w:autoSpaceDE w:val="0"/>
              <w:autoSpaceDN w:val="0"/>
              <w:adjustRightInd w:val="0"/>
              <w:ind w:left="0"/>
              <w:rPr>
                <w:rFonts w:asciiTheme="minorHAnsi" w:eastAsiaTheme="minorHAnsi" w:hAnsiTheme="minorHAnsi" w:cstheme="minorHAnsi"/>
                <w:sz w:val="18"/>
                <w:szCs w:val="18"/>
                <w:lang w:val="fr-FR" w:eastAsia="en-US"/>
              </w:rPr>
            </w:pPr>
            <w:r w:rsidRPr="00D80F95">
              <w:rPr>
                <w:rFonts w:asciiTheme="minorHAnsi" w:hAnsiTheme="minorHAnsi" w:cstheme="minorHAnsi"/>
                <w:sz w:val="18"/>
                <w:szCs w:val="18"/>
                <w:lang w:val="fr-FR"/>
              </w:rPr>
              <w:t>France</w:t>
            </w:r>
            <w:r w:rsidRPr="00D80F95">
              <w:rPr>
                <w:rFonts w:asciiTheme="minorHAnsi" w:eastAsiaTheme="minorHAnsi" w:hAnsiTheme="minorHAnsi" w:cstheme="minorHAnsi"/>
                <w:sz w:val="18"/>
                <w:szCs w:val="18"/>
                <w:lang w:val="fr-FR" w:eastAsia="en-US"/>
              </w:rPr>
              <w:t xml:space="preserve"> </w:t>
            </w:r>
          </w:p>
        </w:tc>
        <w:tc>
          <w:tcPr>
            <w:tcW w:w="7938" w:type="dxa"/>
            <w:tcBorders>
              <w:bottom w:val="single" w:sz="4" w:space="0" w:color="auto"/>
            </w:tcBorders>
          </w:tcPr>
          <w:p w:rsidR="00362D7A" w:rsidRPr="00D80F95" w:rsidRDefault="00362D7A" w:rsidP="00362D7A">
            <w:pPr>
              <w:pStyle w:val="Lijstalinea"/>
              <w:autoSpaceDE w:val="0"/>
              <w:autoSpaceDN w:val="0"/>
              <w:adjustRightInd w:val="0"/>
              <w:ind w:left="0"/>
              <w:rPr>
                <w:rFonts w:asciiTheme="minorHAnsi" w:hAnsiTheme="minorHAnsi" w:cstheme="minorHAnsi"/>
                <w:sz w:val="18"/>
                <w:szCs w:val="18"/>
                <w:lang w:val="fr-FR"/>
              </w:rPr>
            </w:pPr>
            <w:r w:rsidRPr="00D80F95">
              <w:rPr>
                <w:rFonts w:asciiTheme="minorHAnsi" w:eastAsiaTheme="minorHAnsi" w:hAnsiTheme="minorHAnsi" w:cstheme="minorHAnsi"/>
                <w:sz w:val="18"/>
                <w:szCs w:val="18"/>
                <w:lang w:val="fr-FR" w:eastAsia="en-US"/>
              </w:rPr>
              <w:t>Tout le foyer est mentalement/physiquement incapable de répondre</w:t>
            </w:r>
            <w:r w:rsidRPr="00D80F95">
              <w:rPr>
                <w:rFonts w:asciiTheme="minorHAnsi" w:hAnsiTheme="minorHAnsi" w:cstheme="minorHAnsi"/>
                <w:sz w:val="18"/>
                <w:szCs w:val="18"/>
                <w:lang w:val="fr-FR"/>
              </w:rPr>
              <w:t xml:space="preserve"> </w:t>
            </w:r>
          </w:p>
        </w:tc>
      </w:tr>
      <w:tr w:rsidR="00362D7A" w:rsidRPr="00D80F95" w:rsidTr="00D80F95">
        <w:tc>
          <w:tcPr>
            <w:tcW w:w="1134" w:type="dxa"/>
            <w:tcBorders>
              <w:bottom w:val="nil"/>
            </w:tcBorders>
          </w:tcPr>
          <w:p w:rsidR="00362D7A" w:rsidRPr="00D80F95" w:rsidRDefault="00362D7A" w:rsidP="00362D7A">
            <w:pPr>
              <w:pStyle w:val="Default"/>
              <w:rPr>
                <w:rFonts w:asciiTheme="minorHAnsi" w:hAnsiTheme="minorHAnsi" w:cstheme="minorHAnsi"/>
                <w:sz w:val="18"/>
                <w:szCs w:val="18"/>
                <w:lang w:val="fr-FR"/>
              </w:rPr>
            </w:pPr>
            <w:proofErr w:type="spellStart"/>
            <w:r w:rsidRPr="00D80F95">
              <w:rPr>
                <w:rFonts w:asciiTheme="minorHAnsi" w:hAnsiTheme="minorHAnsi" w:cstheme="minorHAnsi"/>
                <w:sz w:val="18"/>
                <w:szCs w:val="18"/>
                <w:lang w:val="fr-FR"/>
              </w:rPr>
              <w:t>Switzerland</w:t>
            </w:r>
            <w:proofErr w:type="spellEnd"/>
            <w:r w:rsidRPr="00D80F95">
              <w:rPr>
                <w:rFonts w:asciiTheme="minorHAnsi" w:hAnsiTheme="minorHAnsi" w:cstheme="minorHAnsi"/>
                <w:sz w:val="18"/>
                <w:szCs w:val="18"/>
                <w:lang w:val="fr-FR"/>
              </w:rPr>
              <w:t xml:space="preserve"> </w:t>
            </w:r>
          </w:p>
        </w:tc>
        <w:tc>
          <w:tcPr>
            <w:tcW w:w="7938" w:type="dxa"/>
            <w:tcBorders>
              <w:bottom w:val="nil"/>
            </w:tcBorders>
          </w:tcPr>
          <w:p w:rsidR="00362D7A" w:rsidRPr="00D80F95" w:rsidRDefault="00362D7A" w:rsidP="00362D7A">
            <w:pPr>
              <w:pStyle w:val="Default"/>
              <w:rPr>
                <w:rFonts w:asciiTheme="minorHAnsi" w:hAnsiTheme="minorHAnsi" w:cstheme="minorHAnsi"/>
                <w:sz w:val="18"/>
                <w:szCs w:val="18"/>
                <w:lang w:val="fr-FR"/>
              </w:rPr>
            </w:pPr>
            <w:r w:rsidRPr="00D80F95">
              <w:rPr>
                <w:rFonts w:asciiTheme="minorHAnsi" w:hAnsiTheme="minorHAnsi" w:cstheme="minorHAnsi"/>
                <w:sz w:val="18"/>
                <w:szCs w:val="18"/>
                <w:lang w:val="fr-FR"/>
              </w:rPr>
              <w:t xml:space="preserve">10) Mentalement ou physiquement incapable de coopérer durant la période de recherche sur le terrain </w:t>
            </w:r>
          </w:p>
        </w:tc>
      </w:tr>
      <w:tr w:rsidR="00362D7A" w:rsidRPr="00D80F95" w:rsidTr="00D80F95">
        <w:tc>
          <w:tcPr>
            <w:tcW w:w="1134" w:type="dxa"/>
            <w:tcBorders>
              <w:top w:val="nil"/>
            </w:tcBorders>
          </w:tcPr>
          <w:p w:rsidR="00362D7A" w:rsidRPr="00D80F95" w:rsidRDefault="00362D7A" w:rsidP="00DB3F6C">
            <w:pPr>
              <w:pStyle w:val="Default"/>
              <w:rPr>
                <w:rFonts w:asciiTheme="minorHAnsi" w:hAnsiTheme="minorHAnsi" w:cstheme="minorHAnsi"/>
                <w:i/>
                <w:iCs/>
                <w:sz w:val="18"/>
                <w:szCs w:val="18"/>
                <w:lang w:val="fr-FR"/>
              </w:rPr>
            </w:pPr>
          </w:p>
        </w:tc>
        <w:tc>
          <w:tcPr>
            <w:tcW w:w="7938" w:type="dxa"/>
            <w:tcBorders>
              <w:top w:val="nil"/>
            </w:tcBorders>
          </w:tcPr>
          <w:p w:rsidR="00362D7A" w:rsidRPr="00D80F95" w:rsidRDefault="00362D7A" w:rsidP="00DB3F6C">
            <w:pPr>
              <w:pStyle w:val="Default"/>
              <w:rPr>
                <w:rFonts w:asciiTheme="minorHAnsi" w:hAnsiTheme="minorHAnsi" w:cstheme="minorHAnsi"/>
                <w:i/>
                <w:iCs/>
                <w:sz w:val="18"/>
                <w:szCs w:val="18"/>
                <w:lang w:val="fr-FR"/>
              </w:rPr>
            </w:pPr>
            <w:r w:rsidRPr="00D80F95">
              <w:rPr>
                <w:rFonts w:asciiTheme="minorHAnsi" w:hAnsiTheme="minorHAnsi" w:cstheme="minorHAnsi"/>
                <w:iCs/>
                <w:sz w:val="18"/>
                <w:szCs w:val="18"/>
                <w:lang w:val="fr-FR"/>
              </w:rPr>
              <w:t xml:space="preserve">11) </w:t>
            </w:r>
            <w:r w:rsidRPr="00D80F95">
              <w:rPr>
                <w:rFonts w:asciiTheme="minorHAnsi" w:hAnsiTheme="minorHAnsi" w:cstheme="minorHAnsi"/>
                <w:sz w:val="18"/>
                <w:szCs w:val="18"/>
                <w:lang w:val="fr-FR"/>
              </w:rPr>
              <w:t>Malade, mais d'accord plus tard (Rendez-vous)</w:t>
            </w:r>
          </w:p>
        </w:tc>
      </w:tr>
    </w:tbl>
    <w:p w:rsidR="00362D7A" w:rsidRPr="00D80F95" w:rsidRDefault="00362D7A" w:rsidP="00362D7A">
      <w:pPr>
        <w:autoSpaceDE w:val="0"/>
        <w:autoSpaceDN w:val="0"/>
        <w:adjustRightInd w:val="0"/>
        <w:rPr>
          <w:rFonts w:asciiTheme="minorHAnsi" w:hAnsiTheme="minorHAnsi" w:cstheme="minorHAnsi"/>
          <w:sz w:val="20"/>
          <w:szCs w:val="20"/>
          <w:lang w:val="en-GB"/>
        </w:rPr>
      </w:pPr>
    </w:p>
    <w:p w:rsidR="003B53C2" w:rsidRPr="00D80F95" w:rsidRDefault="007071FC" w:rsidP="003B53C2">
      <w:pPr>
        <w:pStyle w:val="Geenafstand"/>
        <w:numPr>
          <w:ilvl w:val="0"/>
          <w:numId w:val="1"/>
        </w:numPr>
        <w:rPr>
          <w:rFonts w:asciiTheme="minorHAnsi" w:hAnsiTheme="minorHAnsi" w:cstheme="minorHAnsi"/>
          <w:i/>
          <w:sz w:val="20"/>
          <w:szCs w:val="20"/>
          <w:lang w:val="en-GB"/>
        </w:rPr>
      </w:pPr>
      <w:r w:rsidRPr="00D80F95">
        <w:rPr>
          <w:rFonts w:asciiTheme="minorHAnsi" w:hAnsiTheme="minorHAnsi" w:cstheme="minorHAnsi"/>
          <w:i/>
          <w:sz w:val="20"/>
          <w:szCs w:val="20"/>
          <w:lang w:val="en-GB"/>
        </w:rPr>
        <w:t>Fuzzy terms and i</w:t>
      </w:r>
      <w:r w:rsidR="003B53C2" w:rsidRPr="00D80F95">
        <w:rPr>
          <w:rFonts w:asciiTheme="minorHAnsi" w:hAnsiTheme="minorHAnsi" w:cstheme="minorHAnsi"/>
          <w:i/>
          <w:sz w:val="20"/>
          <w:szCs w:val="20"/>
          <w:lang w:val="en-GB"/>
        </w:rPr>
        <w:t>nterpretation interviewers</w:t>
      </w:r>
    </w:p>
    <w:p w:rsidR="00CC7554" w:rsidRPr="00D80F95" w:rsidRDefault="002B0603" w:rsidP="00CC7554">
      <w:pPr>
        <w:pStyle w:val="Geenafstand"/>
        <w:numPr>
          <w:ilvl w:val="0"/>
          <w:numId w:val="2"/>
        </w:numPr>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It is not entirely clear what it means that the respondent is unavailable during the entire fieldwork period. </w:t>
      </w:r>
      <w:r w:rsidR="007D1B6D">
        <w:rPr>
          <w:rFonts w:asciiTheme="minorHAnsi" w:hAnsiTheme="minorHAnsi" w:cstheme="minorHAnsi"/>
          <w:sz w:val="20"/>
          <w:szCs w:val="20"/>
          <w:lang w:val="en-GB"/>
        </w:rPr>
        <w:t>The Contact Forms phrase it differently:</w:t>
      </w:r>
      <w:r w:rsidR="007D1B6D" w:rsidRPr="007D1B6D">
        <w:t xml:space="preserve"> </w:t>
      </w:r>
      <w:r w:rsidR="007D1B6D" w:rsidRPr="007D1B6D">
        <w:rPr>
          <w:rFonts w:asciiTheme="minorHAnsi" w:hAnsiTheme="minorHAnsi" w:cstheme="minorHAnsi"/>
          <w:sz w:val="20"/>
          <w:szCs w:val="20"/>
          <w:lang w:val="en-GB"/>
        </w:rPr>
        <w:t>responden</w:t>
      </w:r>
      <w:r w:rsidR="007D1B6D">
        <w:rPr>
          <w:rFonts w:asciiTheme="minorHAnsi" w:hAnsiTheme="minorHAnsi" w:cstheme="minorHAnsi"/>
          <w:sz w:val="20"/>
          <w:szCs w:val="20"/>
          <w:lang w:val="en-GB"/>
        </w:rPr>
        <w:t>t</w:t>
      </w:r>
      <w:r w:rsidR="007D1B6D" w:rsidRPr="007D1B6D">
        <w:rPr>
          <w:rFonts w:asciiTheme="minorHAnsi" w:hAnsiTheme="minorHAnsi" w:cstheme="minorHAnsi"/>
          <w:sz w:val="20"/>
          <w:szCs w:val="20"/>
          <w:lang w:val="en-GB"/>
        </w:rPr>
        <w:t xml:space="preserve"> unavailable/not at home until...</w:t>
      </w:r>
      <w:r w:rsidR="007D1B6D">
        <w:rPr>
          <w:rFonts w:asciiTheme="minorHAnsi" w:hAnsiTheme="minorHAnsi" w:cstheme="minorHAnsi"/>
          <w:sz w:val="20"/>
          <w:szCs w:val="20"/>
          <w:lang w:val="en-GB"/>
        </w:rPr>
        <w:t xml:space="preserve"> </w:t>
      </w:r>
      <w:r w:rsidRPr="00D80F95">
        <w:rPr>
          <w:rFonts w:asciiTheme="minorHAnsi" w:hAnsiTheme="minorHAnsi" w:cstheme="minorHAnsi"/>
          <w:sz w:val="20"/>
          <w:szCs w:val="20"/>
          <w:lang w:val="en-GB"/>
        </w:rPr>
        <w:t>Could this mean the period a particular interviewer handles the case?</w:t>
      </w:r>
    </w:p>
    <w:p w:rsidR="007D1B6D" w:rsidRDefault="00CC7554" w:rsidP="00CC7554">
      <w:pPr>
        <w:pStyle w:val="Geenafstand"/>
        <w:numPr>
          <w:ilvl w:val="0"/>
          <w:numId w:val="2"/>
        </w:numPr>
        <w:rPr>
          <w:rFonts w:asciiTheme="minorHAnsi" w:hAnsiTheme="minorHAnsi" w:cstheme="minorHAnsi"/>
          <w:sz w:val="20"/>
          <w:szCs w:val="20"/>
          <w:lang w:val="en-GB"/>
        </w:rPr>
      </w:pPr>
      <w:r w:rsidRPr="007D1B6D">
        <w:rPr>
          <w:rFonts w:asciiTheme="minorHAnsi" w:hAnsiTheme="minorHAnsi" w:cstheme="minorHAnsi"/>
          <w:sz w:val="20"/>
          <w:szCs w:val="20"/>
          <w:lang w:val="en-GB"/>
        </w:rPr>
        <w:t>What is the difference between unavailable and a noncontact</w:t>
      </w:r>
      <w:r w:rsidR="007D1B6D" w:rsidRPr="007D1B6D">
        <w:rPr>
          <w:rFonts w:asciiTheme="minorHAnsi" w:hAnsiTheme="minorHAnsi" w:cstheme="minorHAnsi"/>
          <w:sz w:val="20"/>
          <w:szCs w:val="20"/>
          <w:lang w:val="en-GB"/>
        </w:rPr>
        <w:t xml:space="preserve">. According to the AAPOR guidelines we should code a noncontact when the target person is unavailable during the entire fieldwork period. Now “unavailable” is confounded with several other factors. </w:t>
      </w:r>
    </w:p>
    <w:p w:rsidR="002B0603" w:rsidRPr="007D1B6D" w:rsidRDefault="002B0603" w:rsidP="00CC7554">
      <w:pPr>
        <w:pStyle w:val="Geenafstand"/>
        <w:numPr>
          <w:ilvl w:val="0"/>
          <w:numId w:val="2"/>
        </w:numPr>
        <w:rPr>
          <w:rFonts w:asciiTheme="minorHAnsi" w:hAnsiTheme="minorHAnsi" w:cstheme="minorHAnsi"/>
          <w:sz w:val="20"/>
          <w:szCs w:val="20"/>
          <w:lang w:val="en-GB"/>
        </w:rPr>
      </w:pPr>
      <w:r w:rsidRPr="007D1B6D">
        <w:rPr>
          <w:rFonts w:asciiTheme="minorHAnsi" w:hAnsiTheme="minorHAnsi" w:cstheme="minorHAnsi"/>
          <w:sz w:val="20"/>
          <w:szCs w:val="20"/>
          <w:lang w:val="en-GB"/>
        </w:rPr>
        <w:t xml:space="preserve">Language problems could be an easy way out for the respondent. </w:t>
      </w:r>
      <w:r w:rsidR="00D80F95" w:rsidRPr="007D1B6D">
        <w:rPr>
          <w:rFonts w:asciiTheme="minorHAnsi" w:hAnsiTheme="minorHAnsi" w:cstheme="minorHAnsi"/>
          <w:sz w:val="20"/>
          <w:szCs w:val="20"/>
          <w:lang w:val="en-GB"/>
        </w:rPr>
        <w:t>Saying</w:t>
      </w:r>
      <w:r w:rsidRPr="007D1B6D">
        <w:rPr>
          <w:rFonts w:asciiTheme="minorHAnsi" w:hAnsiTheme="minorHAnsi" w:cstheme="minorHAnsi"/>
          <w:sz w:val="20"/>
          <w:szCs w:val="20"/>
          <w:lang w:val="en-GB"/>
        </w:rPr>
        <w:t xml:space="preserve"> you don’t speak the survey language (good enough) </w:t>
      </w:r>
      <w:r w:rsidR="00CC7554" w:rsidRPr="007D1B6D">
        <w:rPr>
          <w:rFonts w:asciiTheme="minorHAnsi" w:hAnsiTheme="minorHAnsi" w:cstheme="minorHAnsi"/>
          <w:sz w:val="20"/>
          <w:szCs w:val="20"/>
          <w:lang w:val="en-GB"/>
        </w:rPr>
        <w:t>protects the target person from having to explain to the interviewer why they don’t cooperate. The s</w:t>
      </w:r>
      <w:r w:rsidR="00F54478" w:rsidRPr="007D1B6D">
        <w:rPr>
          <w:rFonts w:asciiTheme="minorHAnsi" w:hAnsiTheme="minorHAnsi" w:cstheme="minorHAnsi"/>
          <w:sz w:val="20"/>
          <w:szCs w:val="20"/>
          <w:lang w:val="en-GB"/>
        </w:rPr>
        <w:t>a</w:t>
      </w:r>
      <w:r w:rsidR="00CC7554" w:rsidRPr="007D1B6D">
        <w:rPr>
          <w:rFonts w:asciiTheme="minorHAnsi" w:hAnsiTheme="minorHAnsi" w:cstheme="minorHAnsi"/>
          <w:sz w:val="20"/>
          <w:szCs w:val="20"/>
          <w:lang w:val="en-GB"/>
        </w:rPr>
        <w:t>me could hold for being ill.</w:t>
      </w:r>
    </w:p>
    <w:p w:rsidR="00F54478" w:rsidRPr="00D80F95" w:rsidRDefault="00F54478" w:rsidP="00CC7554">
      <w:pPr>
        <w:pStyle w:val="Geenafstand"/>
        <w:numPr>
          <w:ilvl w:val="0"/>
          <w:numId w:val="2"/>
        </w:numPr>
        <w:rPr>
          <w:rFonts w:asciiTheme="minorHAnsi" w:hAnsiTheme="minorHAnsi" w:cstheme="minorHAnsi"/>
          <w:sz w:val="20"/>
          <w:szCs w:val="20"/>
          <w:lang w:val="en-GB"/>
        </w:rPr>
      </w:pPr>
      <w:r w:rsidRPr="00D80F95">
        <w:rPr>
          <w:rFonts w:asciiTheme="minorHAnsi" w:hAnsiTheme="minorHAnsi" w:cstheme="minorHAnsi"/>
          <w:sz w:val="20"/>
          <w:szCs w:val="20"/>
          <w:lang w:val="en-GB"/>
        </w:rPr>
        <w:lastRenderedPageBreak/>
        <w:t xml:space="preserve">It is not clear whether interviewers go back or have to go back when they called on somebody who was mentally or physically unable to cooperate. The new contact forms for </w:t>
      </w:r>
      <w:r w:rsidR="00D80F95" w:rsidRPr="00D80F95">
        <w:rPr>
          <w:rFonts w:asciiTheme="minorHAnsi" w:hAnsiTheme="minorHAnsi" w:cstheme="minorHAnsi"/>
          <w:sz w:val="20"/>
          <w:szCs w:val="20"/>
          <w:lang w:val="en-GB"/>
        </w:rPr>
        <w:t>R</w:t>
      </w:r>
      <w:r w:rsidRPr="00D80F95">
        <w:rPr>
          <w:rFonts w:asciiTheme="minorHAnsi" w:hAnsiTheme="minorHAnsi" w:cstheme="minorHAnsi"/>
          <w:sz w:val="20"/>
          <w:szCs w:val="20"/>
          <w:lang w:val="en-GB"/>
        </w:rPr>
        <w:t>ound 6 now distinguish between short-term and long-term illness.</w:t>
      </w:r>
    </w:p>
    <w:p w:rsidR="00CC7554" w:rsidRPr="00D80F95" w:rsidRDefault="00CC7554" w:rsidP="00CC7554">
      <w:pPr>
        <w:pStyle w:val="Geenafstand"/>
        <w:numPr>
          <w:ilvl w:val="0"/>
          <w:numId w:val="2"/>
        </w:numPr>
        <w:rPr>
          <w:rFonts w:asciiTheme="minorHAnsi" w:hAnsiTheme="minorHAnsi" w:cstheme="minorHAnsi"/>
          <w:sz w:val="20"/>
          <w:szCs w:val="20"/>
          <w:lang w:val="en-GB"/>
        </w:rPr>
      </w:pPr>
      <w:r w:rsidRPr="00D80F95">
        <w:rPr>
          <w:rFonts w:asciiTheme="minorHAnsi" w:hAnsiTheme="minorHAnsi" w:cstheme="minorHAnsi"/>
          <w:sz w:val="20"/>
          <w:szCs w:val="20"/>
          <w:lang w:val="en-GB"/>
        </w:rPr>
        <w:t>In general, “not able” could be due to having a deadline to keep, cooking dinner, bringing children to bed, caring for a sick family member, etc. Although the text says “mentally or physically unable during the entire fieldwork period” the “unable” could be used more generally.</w:t>
      </w:r>
    </w:p>
    <w:p w:rsidR="00CC7554" w:rsidRPr="00D80F95" w:rsidRDefault="00CC7554" w:rsidP="002B0603">
      <w:pPr>
        <w:pStyle w:val="Geenafstand"/>
        <w:rPr>
          <w:rFonts w:asciiTheme="minorHAnsi" w:hAnsiTheme="minorHAnsi" w:cstheme="minorHAnsi"/>
          <w:sz w:val="20"/>
          <w:szCs w:val="20"/>
          <w:lang w:val="en-GB"/>
        </w:rPr>
      </w:pPr>
    </w:p>
    <w:p w:rsidR="003B53C2" w:rsidRPr="00D80F95" w:rsidRDefault="003B53C2" w:rsidP="003B53C2">
      <w:pPr>
        <w:pStyle w:val="Geenafstand"/>
        <w:numPr>
          <w:ilvl w:val="0"/>
          <w:numId w:val="1"/>
        </w:numPr>
        <w:rPr>
          <w:rFonts w:asciiTheme="minorHAnsi" w:hAnsiTheme="minorHAnsi" w:cstheme="minorHAnsi"/>
          <w:i/>
          <w:sz w:val="20"/>
          <w:szCs w:val="20"/>
          <w:lang w:val="en-GB"/>
        </w:rPr>
      </w:pPr>
      <w:r w:rsidRPr="00D80F95">
        <w:rPr>
          <w:rFonts w:asciiTheme="minorHAnsi" w:hAnsiTheme="minorHAnsi" w:cstheme="minorHAnsi"/>
          <w:i/>
          <w:sz w:val="20"/>
          <w:szCs w:val="20"/>
          <w:lang w:val="en-GB"/>
        </w:rPr>
        <w:t xml:space="preserve">Interviewer </w:t>
      </w:r>
      <w:r w:rsidR="00CC7554" w:rsidRPr="00D80F95">
        <w:rPr>
          <w:rFonts w:asciiTheme="minorHAnsi" w:hAnsiTheme="minorHAnsi" w:cstheme="minorHAnsi"/>
          <w:i/>
          <w:sz w:val="20"/>
          <w:szCs w:val="20"/>
          <w:lang w:val="en-GB"/>
        </w:rPr>
        <w:t>evaluation</w:t>
      </w:r>
      <w:r w:rsidR="002B0603" w:rsidRPr="00D80F95">
        <w:rPr>
          <w:rFonts w:asciiTheme="minorHAnsi" w:hAnsiTheme="minorHAnsi" w:cstheme="minorHAnsi"/>
          <w:i/>
          <w:sz w:val="20"/>
          <w:szCs w:val="20"/>
          <w:lang w:val="en-GB"/>
        </w:rPr>
        <w:t xml:space="preserve"> and bonuses</w:t>
      </w:r>
    </w:p>
    <w:p w:rsidR="00CC7554" w:rsidRPr="00D80F95" w:rsidRDefault="00CC7554" w:rsidP="00CC7554">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Interviewers are often evaluated according to their success. An interview is </w:t>
      </w:r>
      <w:r w:rsidR="00D80F95" w:rsidRPr="00D80F95">
        <w:rPr>
          <w:rFonts w:asciiTheme="minorHAnsi" w:hAnsiTheme="minorHAnsi" w:cstheme="minorHAnsi"/>
          <w:sz w:val="20"/>
          <w:szCs w:val="20"/>
          <w:lang w:val="en-GB"/>
        </w:rPr>
        <w:t>obviously</w:t>
      </w:r>
      <w:r w:rsidRPr="00D80F95">
        <w:rPr>
          <w:rFonts w:asciiTheme="minorHAnsi" w:hAnsiTheme="minorHAnsi" w:cstheme="minorHAnsi"/>
          <w:sz w:val="20"/>
          <w:szCs w:val="20"/>
          <w:lang w:val="en-GB"/>
        </w:rPr>
        <w:t xml:space="preserve"> a success, a refusal and a noncontact clearly not a success. When the respondent is unable or unavailable the interviewer is of course not to blame. So there is clearly an incentive to minimise refusal and noncontact, and to maximise not able and unavailable, especially as these categories do hardly get any attention in the ESS and the nonresponse literature.</w:t>
      </w:r>
    </w:p>
    <w:p w:rsidR="00CC7554" w:rsidRPr="00D80F95" w:rsidRDefault="00CC7554" w:rsidP="00CC7554">
      <w:pPr>
        <w:pStyle w:val="Geenafstand"/>
        <w:rPr>
          <w:rFonts w:asciiTheme="minorHAnsi" w:hAnsiTheme="minorHAnsi" w:cstheme="minorHAnsi"/>
          <w:sz w:val="20"/>
          <w:szCs w:val="20"/>
          <w:lang w:val="en-GB"/>
        </w:rPr>
      </w:pPr>
    </w:p>
    <w:p w:rsidR="00245EC3" w:rsidRPr="00D80F95" w:rsidRDefault="00245EC3" w:rsidP="00CC7554">
      <w:pPr>
        <w:pStyle w:val="Geenafstand"/>
        <w:rPr>
          <w:rFonts w:asciiTheme="minorHAnsi" w:hAnsiTheme="minorHAnsi" w:cstheme="minorHAnsi"/>
          <w:b/>
          <w:sz w:val="20"/>
          <w:szCs w:val="20"/>
          <w:lang w:val="en-GB"/>
        </w:rPr>
      </w:pPr>
      <w:r w:rsidRPr="00D80F95">
        <w:rPr>
          <w:rFonts w:asciiTheme="minorHAnsi" w:hAnsiTheme="minorHAnsi" w:cstheme="minorHAnsi"/>
          <w:b/>
          <w:sz w:val="20"/>
          <w:szCs w:val="20"/>
          <w:lang w:val="en-GB"/>
        </w:rPr>
        <w:t>Conclusion</w:t>
      </w:r>
    </w:p>
    <w:p w:rsidR="00245EC3" w:rsidRPr="00D80F95" w:rsidRDefault="00245EC3" w:rsidP="00CC7554">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We should – whenever possible – calculate final disposition codes at a detailed level based on the contact forms. We should also get in touch with National Coordinators and national fieldwork teams in order to try to find out how</w:t>
      </w:r>
      <w:r w:rsidR="00F97146">
        <w:rPr>
          <w:rFonts w:asciiTheme="minorHAnsi" w:hAnsiTheme="minorHAnsi" w:cstheme="minorHAnsi"/>
          <w:sz w:val="20"/>
          <w:szCs w:val="20"/>
          <w:lang w:val="en-GB"/>
        </w:rPr>
        <w:t xml:space="preserve"> fieldwork implementation </w:t>
      </w:r>
      <w:r w:rsidRPr="00D80F95">
        <w:rPr>
          <w:rFonts w:asciiTheme="minorHAnsi" w:hAnsiTheme="minorHAnsi" w:cstheme="minorHAnsi"/>
          <w:sz w:val="20"/>
          <w:szCs w:val="20"/>
          <w:lang w:val="en-GB"/>
        </w:rPr>
        <w:t>can affect “unable” and “unavailable”</w:t>
      </w:r>
      <w:r w:rsidR="002F1AEF" w:rsidRPr="00D80F95">
        <w:rPr>
          <w:rFonts w:asciiTheme="minorHAnsi" w:hAnsiTheme="minorHAnsi" w:cstheme="minorHAnsi"/>
          <w:sz w:val="20"/>
          <w:szCs w:val="20"/>
          <w:lang w:val="en-GB"/>
        </w:rPr>
        <w:t xml:space="preserve"> </w:t>
      </w:r>
      <w:r w:rsidR="00F97146">
        <w:rPr>
          <w:rFonts w:asciiTheme="minorHAnsi" w:hAnsiTheme="minorHAnsi" w:cstheme="minorHAnsi"/>
          <w:sz w:val="20"/>
          <w:szCs w:val="20"/>
          <w:lang w:val="en-GB"/>
        </w:rPr>
        <w:t xml:space="preserve">(and other call outcomes) </w:t>
      </w:r>
      <w:r w:rsidR="002F1AEF" w:rsidRPr="00D80F95">
        <w:rPr>
          <w:rFonts w:asciiTheme="minorHAnsi" w:hAnsiTheme="minorHAnsi" w:cstheme="minorHAnsi"/>
          <w:sz w:val="20"/>
          <w:szCs w:val="20"/>
          <w:lang w:val="en-GB"/>
        </w:rPr>
        <w:t>and how interviewers are instructed and interpret the outcome codes.</w:t>
      </w:r>
    </w:p>
    <w:p w:rsidR="00245EC3" w:rsidRPr="00D80F95" w:rsidRDefault="00245EC3" w:rsidP="00CC7554">
      <w:pPr>
        <w:pStyle w:val="Geenafstand"/>
        <w:rPr>
          <w:rFonts w:asciiTheme="minorHAnsi" w:hAnsiTheme="minorHAnsi" w:cstheme="minorHAnsi"/>
          <w:sz w:val="20"/>
          <w:szCs w:val="20"/>
          <w:lang w:val="en-GB"/>
        </w:rPr>
      </w:pPr>
    </w:p>
    <w:p w:rsidR="00CC7554" w:rsidRPr="00D80F95" w:rsidRDefault="00245EC3" w:rsidP="00CC7554">
      <w:pPr>
        <w:pStyle w:val="Geenafstand"/>
        <w:rPr>
          <w:rFonts w:asciiTheme="minorHAnsi" w:hAnsiTheme="minorHAnsi" w:cstheme="minorHAnsi"/>
          <w:b/>
          <w:sz w:val="20"/>
          <w:szCs w:val="20"/>
          <w:lang w:val="en-GB"/>
        </w:rPr>
      </w:pPr>
      <w:r w:rsidRPr="00D80F95">
        <w:rPr>
          <w:rFonts w:asciiTheme="minorHAnsi" w:hAnsiTheme="minorHAnsi" w:cstheme="minorHAnsi"/>
          <w:b/>
          <w:sz w:val="20"/>
          <w:szCs w:val="20"/>
          <w:lang w:val="en-GB"/>
        </w:rPr>
        <w:t>Questions</w:t>
      </w:r>
    </w:p>
    <w:p w:rsidR="00245EC3" w:rsidRPr="00D80F95" w:rsidRDefault="00245EC3" w:rsidP="002F1AEF">
      <w:pPr>
        <w:pStyle w:val="Geenafstand"/>
        <w:numPr>
          <w:ilvl w:val="0"/>
          <w:numId w:val="3"/>
        </w:numPr>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Is </w:t>
      </w:r>
      <w:r w:rsidR="00D80F95">
        <w:rPr>
          <w:rFonts w:asciiTheme="minorHAnsi" w:hAnsiTheme="minorHAnsi" w:cstheme="minorHAnsi"/>
          <w:sz w:val="20"/>
          <w:szCs w:val="20"/>
          <w:lang w:val="en-GB"/>
        </w:rPr>
        <w:t>“</w:t>
      </w:r>
      <w:r w:rsidRPr="00D80F95">
        <w:rPr>
          <w:rFonts w:asciiTheme="minorHAnsi" w:hAnsiTheme="minorHAnsi" w:cstheme="minorHAnsi"/>
          <w:sz w:val="20"/>
          <w:szCs w:val="20"/>
          <w:lang w:val="en-GB"/>
        </w:rPr>
        <w:t>not able</w:t>
      </w:r>
      <w:r w:rsidR="00D80F95">
        <w:rPr>
          <w:rFonts w:asciiTheme="minorHAnsi" w:hAnsiTheme="minorHAnsi" w:cstheme="minorHAnsi"/>
          <w:sz w:val="20"/>
          <w:szCs w:val="20"/>
          <w:lang w:val="en-GB"/>
        </w:rPr>
        <w:t>”</w:t>
      </w:r>
      <w:r w:rsidRPr="00D80F95">
        <w:rPr>
          <w:rFonts w:asciiTheme="minorHAnsi" w:hAnsiTheme="minorHAnsi" w:cstheme="minorHAnsi"/>
          <w:sz w:val="20"/>
          <w:szCs w:val="20"/>
          <w:lang w:val="en-GB"/>
        </w:rPr>
        <w:t xml:space="preserve"> really a substantial cause of nonresponse?</w:t>
      </w:r>
    </w:p>
    <w:p w:rsidR="00245EC3" w:rsidRPr="00D80F95" w:rsidRDefault="00245EC3" w:rsidP="002F1AEF">
      <w:pPr>
        <w:pStyle w:val="Geenafstand"/>
        <w:numPr>
          <w:ilvl w:val="0"/>
          <w:numId w:val="3"/>
        </w:numPr>
        <w:rPr>
          <w:rFonts w:asciiTheme="minorHAnsi" w:hAnsiTheme="minorHAnsi" w:cstheme="minorHAnsi"/>
          <w:sz w:val="20"/>
          <w:szCs w:val="20"/>
          <w:lang w:val="en-GB"/>
        </w:rPr>
      </w:pPr>
      <w:r w:rsidRPr="00D80F95">
        <w:rPr>
          <w:rFonts w:asciiTheme="minorHAnsi" w:hAnsiTheme="minorHAnsi" w:cstheme="minorHAnsi"/>
          <w:sz w:val="20"/>
          <w:szCs w:val="20"/>
          <w:lang w:val="en-GB"/>
        </w:rPr>
        <w:t>If so, what should and what can we do about this?</w:t>
      </w:r>
    </w:p>
    <w:p w:rsidR="00245EC3" w:rsidRPr="00D80F95" w:rsidRDefault="00245EC3" w:rsidP="002F1AEF">
      <w:pPr>
        <w:pStyle w:val="Geenafstand"/>
        <w:numPr>
          <w:ilvl w:val="0"/>
          <w:numId w:val="3"/>
        </w:numPr>
        <w:rPr>
          <w:rFonts w:asciiTheme="minorHAnsi" w:hAnsiTheme="minorHAnsi" w:cstheme="minorHAnsi"/>
          <w:sz w:val="20"/>
          <w:szCs w:val="20"/>
          <w:lang w:val="en-GB"/>
        </w:rPr>
      </w:pPr>
      <w:r w:rsidRPr="00D80F95">
        <w:rPr>
          <w:rFonts w:asciiTheme="minorHAnsi" w:hAnsiTheme="minorHAnsi" w:cstheme="minorHAnsi"/>
          <w:sz w:val="20"/>
          <w:szCs w:val="20"/>
          <w:lang w:val="en-GB"/>
        </w:rPr>
        <w:t>How can we standardise the final disposition codes?</w:t>
      </w:r>
    </w:p>
    <w:p w:rsidR="00245EC3" w:rsidRPr="00D80F95" w:rsidRDefault="00245EC3" w:rsidP="002F1AEF">
      <w:pPr>
        <w:pStyle w:val="Geenafstand"/>
        <w:numPr>
          <w:ilvl w:val="0"/>
          <w:numId w:val="3"/>
        </w:numPr>
        <w:rPr>
          <w:rFonts w:asciiTheme="minorHAnsi" w:hAnsiTheme="minorHAnsi" w:cstheme="minorHAnsi"/>
          <w:sz w:val="20"/>
          <w:szCs w:val="20"/>
          <w:lang w:val="en-GB"/>
        </w:rPr>
      </w:pPr>
      <w:r w:rsidRPr="00D80F95">
        <w:rPr>
          <w:rFonts w:asciiTheme="minorHAnsi" w:hAnsiTheme="minorHAnsi" w:cstheme="minorHAnsi"/>
          <w:sz w:val="20"/>
          <w:szCs w:val="20"/>
          <w:lang w:val="en-GB"/>
        </w:rPr>
        <w:t>Do others have experience in this area?</w:t>
      </w:r>
    </w:p>
    <w:p w:rsidR="00245EC3" w:rsidRPr="00D80F95" w:rsidRDefault="00245EC3" w:rsidP="002F1AEF">
      <w:pPr>
        <w:pStyle w:val="Geenafstand"/>
        <w:numPr>
          <w:ilvl w:val="0"/>
          <w:numId w:val="3"/>
        </w:numPr>
        <w:rPr>
          <w:rFonts w:asciiTheme="minorHAnsi" w:hAnsiTheme="minorHAnsi" w:cstheme="minorHAnsi"/>
          <w:sz w:val="20"/>
          <w:szCs w:val="20"/>
          <w:lang w:val="en-GB"/>
        </w:rPr>
      </w:pPr>
      <w:r w:rsidRPr="00D80F95">
        <w:rPr>
          <w:rFonts w:asciiTheme="minorHAnsi" w:hAnsiTheme="minorHAnsi" w:cstheme="minorHAnsi"/>
          <w:sz w:val="20"/>
          <w:szCs w:val="20"/>
          <w:lang w:val="en-GB"/>
        </w:rPr>
        <w:t>How do other surveys handle this problem?</w:t>
      </w:r>
    </w:p>
    <w:p w:rsidR="00245EC3" w:rsidRPr="00D80F95" w:rsidRDefault="00245EC3" w:rsidP="00245EC3">
      <w:pPr>
        <w:pStyle w:val="Geenafstand"/>
        <w:rPr>
          <w:rFonts w:asciiTheme="minorHAnsi" w:hAnsiTheme="minorHAnsi" w:cstheme="minorHAnsi"/>
          <w:sz w:val="20"/>
          <w:szCs w:val="20"/>
          <w:lang w:val="en-GB"/>
        </w:rPr>
      </w:pPr>
    </w:p>
    <w:p w:rsidR="009727C4" w:rsidRPr="00D80F95" w:rsidRDefault="009727C4" w:rsidP="00245EC3">
      <w:pPr>
        <w:pStyle w:val="Geenafstand"/>
        <w:rPr>
          <w:rFonts w:asciiTheme="minorHAnsi" w:hAnsiTheme="minorHAnsi" w:cstheme="minorHAnsi"/>
          <w:sz w:val="20"/>
          <w:szCs w:val="20"/>
          <w:lang w:val="en-GB"/>
        </w:rPr>
      </w:pPr>
    </w:p>
    <w:p w:rsidR="00B502D8" w:rsidRPr="00D80F95" w:rsidRDefault="00B502D8" w:rsidP="00B502D8">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 xml:space="preserve">Matsuo, H., J. Billiet, G. Loosveldt &amp; B. Malnar (2010) </w:t>
      </w:r>
      <w:r w:rsidRPr="00D80F95">
        <w:rPr>
          <w:rFonts w:asciiTheme="minorHAnsi" w:hAnsiTheme="minorHAnsi" w:cstheme="minorHAnsi"/>
          <w:i/>
          <w:sz w:val="20"/>
          <w:szCs w:val="20"/>
          <w:lang w:val="en-GB"/>
        </w:rPr>
        <w:t>Response‐based Quality Assessment of ESS Round 4: Results for 30 Countries Based on Contact File</w:t>
      </w:r>
      <w:r w:rsidRPr="00D80F95">
        <w:rPr>
          <w:rFonts w:asciiTheme="minorHAnsi" w:hAnsiTheme="minorHAnsi" w:cstheme="minorHAnsi"/>
          <w:sz w:val="20"/>
          <w:szCs w:val="20"/>
          <w:lang w:val="en-GB"/>
        </w:rPr>
        <w:t xml:space="preserve">s. </w:t>
      </w:r>
      <w:proofErr w:type="spellStart"/>
      <w:r w:rsidRPr="00D80F95">
        <w:rPr>
          <w:rFonts w:asciiTheme="minorHAnsi" w:hAnsiTheme="minorHAnsi" w:cstheme="minorHAnsi"/>
          <w:sz w:val="20"/>
          <w:szCs w:val="20"/>
          <w:lang w:val="en-GB"/>
        </w:rPr>
        <w:t>Onderzoeksverslag</w:t>
      </w:r>
      <w:proofErr w:type="spellEnd"/>
      <w:r w:rsidRPr="00D80F95">
        <w:rPr>
          <w:rFonts w:asciiTheme="minorHAnsi" w:hAnsiTheme="minorHAnsi" w:cstheme="minorHAnsi"/>
          <w:sz w:val="20"/>
          <w:szCs w:val="20"/>
          <w:lang w:val="en-GB"/>
        </w:rPr>
        <w:t xml:space="preserve"> Centrum </w:t>
      </w:r>
      <w:proofErr w:type="spellStart"/>
      <w:r w:rsidRPr="00D80F95">
        <w:rPr>
          <w:rFonts w:asciiTheme="minorHAnsi" w:hAnsiTheme="minorHAnsi" w:cstheme="minorHAnsi"/>
          <w:sz w:val="20"/>
          <w:szCs w:val="20"/>
          <w:lang w:val="en-GB"/>
        </w:rPr>
        <w:t>voor</w:t>
      </w:r>
      <w:proofErr w:type="spellEnd"/>
      <w:r w:rsidRPr="00D80F95">
        <w:rPr>
          <w:rFonts w:asciiTheme="minorHAnsi" w:hAnsiTheme="minorHAnsi" w:cstheme="minorHAnsi"/>
          <w:sz w:val="20"/>
          <w:szCs w:val="20"/>
          <w:lang w:val="en-GB"/>
        </w:rPr>
        <w:t xml:space="preserve"> </w:t>
      </w:r>
      <w:proofErr w:type="spellStart"/>
      <w:r w:rsidRPr="00D80F95">
        <w:rPr>
          <w:rFonts w:asciiTheme="minorHAnsi" w:hAnsiTheme="minorHAnsi" w:cstheme="minorHAnsi"/>
          <w:sz w:val="20"/>
          <w:szCs w:val="20"/>
          <w:lang w:val="en-GB"/>
        </w:rPr>
        <w:t>Sociologisch</w:t>
      </w:r>
      <w:proofErr w:type="spellEnd"/>
      <w:r w:rsidRPr="00D80F95">
        <w:rPr>
          <w:rFonts w:asciiTheme="minorHAnsi" w:hAnsiTheme="minorHAnsi" w:cstheme="minorHAnsi"/>
          <w:sz w:val="20"/>
          <w:szCs w:val="20"/>
          <w:lang w:val="en-GB"/>
        </w:rPr>
        <w:t xml:space="preserve"> </w:t>
      </w:r>
      <w:proofErr w:type="spellStart"/>
      <w:r w:rsidRPr="00D80F95">
        <w:rPr>
          <w:rFonts w:asciiTheme="minorHAnsi" w:hAnsiTheme="minorHAnsi" w:cstheme="minorHAnsi"/>
          <w:sz w:val="20"/>
          <w:szCs w:val="20"/>
          <w:lang w:val="en-GB"/>
        </w:rPr>
        <w:t>Onderzoek</w:t>
      </w:r>
      <w:proofErr w:type="spellEnd"/>
      <w:r w:rsidRPr="00D80F95">
        <w:rPr>
          <w:rFonts w:asciiTheme="minorHAnsi" w:hAnsiTheme="minorHAnsi" w:cstheme="minorHAnsi"/>
          <w:sz w:val="20"/>
          <w:szCs w:val="20"/>
          <w:lang w:val="en-GB"/>
        </w:rPr>
        <w:t>. CeSO/SM/2010‐2.</w:t>
      </w:r>
    </w:p>
    <w:p w:rsidR="00B502D8" w:rsidRPr="00D80F95" w:rsidRDefault="00B502D8" w:rsidP="00B502D8">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NSD (2010) ESS4 2008 Documentation Report. The ESS Data Archive. Edition 4.0.</w:t>
      </w:r>
    </w:p>
    <w:p w:rsidR="003B53C2" w:rsidRPr="00D80F95" w:rsidRDefault="00B502D8" w:rsidP="00B502D8">
      <w:pPr>
        <w:pStyle w:val="Geenafstand"/>
        <w:rPr>
          <w:rFonts w:asciiTheme="minorHAnsi" w:hAnsiTheme="minorHAnsi" w:cstheme="minorHAnsi"/>
          <w:sz w:val="20"/>
          <w:szCs w:val="20"/>
          <w:lang w:val="en-GB"/>
        </w:rPr>
      </w:pPr>
      <w:r w:rsidRPr="00D80F95">
        <w:rPr>
          <w:rFonts w:asciiTheme="minorHAnsi" w:hAnsiTheme="minorHAnsi" w:cstheme="minorHAnsi"/>
          <w:sz w:val="20"/>
          <w:szCs w:val="20"/>
          <w:lang w:val="en-GB"/>
        </w:rPr>
        <w:t>NSD (2012) ESS5 2010 Documentation Report. The ESS Data Archive. Edition 2.1.</w:t>
      </w:r>
    </w:p>
    <w:sectPr w:rsidR="003B53C2" w:rsidRPr="00D80F95" w:rsidSect="00A313B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76C" w:rsidRDefault="00A9476C" w:rsidP="009826C4">
      <w:r>
        <w:separator/>
      </w:r>
    </w:p>
  </w:endnote>
  <w:endnote w:type="continuationSeparator" w:id="0">
    <w:p w:rsidR="00A9476C" w:rsidRDefault="00A9476C" w:rsidP="009826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76C" w:rsidRDefault="00A9476C" w:rsidP="009826C4">
      <w:r>
        <w:separator/>
      </w:r>
    </w:p>
  </w:footnote>
  <w:footnote w:type="continuationSeparator" w:id="0">
    <w:p w:rsidR="00A9476C" w:rsidRDefault="00A9476C" w:rsidP="00982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3FB0"/>
    <w:multiLevelType w:val="hybridMultilevel"/>
    <w:tmpl w:val="EFBC8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D24610"/>
    <w:multiLevelType w:val="hybridMultilevel"/>
    <w:tmpl w:val="00260D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5C946468"/>
    <w:multiLevelType w:val="hybridMultilevel"/>
    <w:tmpl w:val="9138A8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87A64F2"/>
    <w:multiLevelType w:val="hybridMultilevel"/>
    <w:tmpl w:val="D56C28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FB36E2A"/>
    <w:multiLevelType w:val="hybridMultilevel"/>
    <w:tmpl w:val="FD343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8010C"/>
    <w:rsid w:val="00015661"/>
    <w:rsid w:val="00020BD1"/>
    <w:rsid w:val="00021349"/>
    <w:rsid w:val="000769DC"/>
    <w:rsid w:val="00245EC3"/>
    <w:rsid w:val="00253154"/>
    <w:rsid w:val="002B0603"/>
    <w:rsid w:val="002F1AEF"/>
    <w:rsid w:val="00316C3E"/>
    <w:rsid w:val="00362D7A"/>
    <w:rsid w:val="003B53C2"/>
    <w:rsid w:val="00472B7A"/>
    <w:rsid w:val="00503B57"/>
    <w:rsid w:val="00574628"/>
    <w:rsid w:val="005E71B5"/>
    <w:rsid w:val="00607473"/>
    <w:rsid w:val="00611606"/>
    <w:rsid w:val="00651258"/>
    <w:rsid w:val="007071FC"/>
    <w:rsid w:val="007D1B6D"/>
    <w:rsid w:val="0082359F"/>
    <w:rsid w:val="00827015"/>
    <w:rsid w:val="009727C4"/>
    <w:rsid w:val="009826C4"/>
    <w:rsid w:val="009A306C"/>
    <w:rsid w:val="00A160AC"/>
    <w:rsid w:val="00A313BC"/>
    <w:rsid w:val="00A9476C"/>
    <w:rsid w:val="00B32ECB"/>
    <w:rsid w:val="00B502D8"/>
    <w:rsid w:val="00B638A8"/>
    <w:rsid w:val="00BB7EEF"/>
    <w:rsid w:val="00C00D47"/>
    <w:rsid w:val="00C467FB"/>
    <w:rsid w:val="00CB7D88"/>
    <w:rsid w:val="00CC7554"/>
    <w:rsid w:val="00CE5EA4"/>
    <w:rsid w:val="00CF0566"/>
    <w:rsid w:val="00D44DCC"/>
    <w:rsid w:val="00D80F95"/>
    <w:rsid w:val="00D97A2D"/>
    <w:rsid w:val="00DB3F6C"/>
    <w:rsid w:val="00E34D2D"/>
    <w:rsid w:val="00EF23A6"/>
    <w:rsid w:val="00F3075A"/>
    <w:rsid w:val="00F54478"/>
    <w:rsid w:val="00F8010C"/>
    <w:rsid w:val="00F97146"/>
    <w:rsid w:val="00FC333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ineke_standaard"/>
    <w:qFormat/>
    <w:rsid w:val="00F8010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F8010C"/>
    <w:pPr>
      <w:spacing w:after="0" w:line="240" w:lineRule="auto"/>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unhideWhenUsed/>
    <w:qFormat/>
    <w:rsid w:val="00F8010C"/>
    <w:pPr>
      <w:spacing w:after="200"/>
    </w:pPr>
    <w:rPr>
      <w:b/>
      <w:bCs/>
      <w:color w:val="4F81BD"/>
      <w:sz w:val="18"/>
      <w:szCs w:val="18"/>
    </w:rPr>
  </w:style>
  <w:style w:type="paragraph" w:styleId="Ballontekst">
    <w:name w:val="Balloon Text"/>
    <w:basedOn w:val="Standaard"/>
    <w:link w:val="BallontekstChar"/>
    <w:uiPriority w:val="99"/>
    <w:semiHidden/>
    <w:unhideWhenUsed/>
    <w:rsid w:val="00F8010C"/>
    <w:rPr>
      <w:rFonts w:ascii="Tahoma" w:hAnsi="Tahoma" w:cs="Tahoma"/>
      <w:sz w:val="16"/>
      <w:szCs w:val="16"/>
    </w:rPr>
  </w:style>
  <w:style w:type="character" w:customStyle="1" w:styleId="BallontekstChar">
    <w:name w:val="Ballontekst Char"/>
    <w:basedOn w:val="Standaardalinea-lettertype"/>
    <w:link w:val="Ballontekst"/>
    <w:uiPriority w:val="99"/>
    <w:semiHidden/>
    <w:rsid w:val="00F8010C"/>
    <w:rPr>
      <w:rFonts w:ascii="Tahoma" w:eastAsia="Times New Roman" w:hAnsi="Tahoma" w:cs="Tahoma"/>
      <w:sz w:val="16"/>
      <w:szCs w:val="16"/>
      <w:lang w:eastAsia="nl-NL"/>
    </w:rPr>
  </w:style>
  <w:style w:type="paragraph" w:customStyle="1" w:styleId="fieldlit">
    <w:name w:val="fieldlit"/>
    <w:basedOn w:val="Standaard"/>
    <w:link w:val="fieldlitZchn"/>
    <w:rsid w:val="00B502D8"/>
    <w:pPr>
      <w:widowControl w:val="0"/>
      <w:tabs>
        <w:tab w:val="left" w:pos="454"/>
        <w:tab w:val="left" w:pos="908"/>
        <w:tab w:val="left" w:pos="1360"/>
        <w:tab w:val="left" w:pos="1701"/>
        <w:tab w:val="left" w:pos="5613"/>
      </w:tabs>
      <w:autoSpaceDE w:val="0"/>
      <w:autoSpaceDN w:val="0"/>
      <w:adjustRightInd w:val="0"/>
      <w:ind w:left="227" w:right="227" w:hanging="227"/>
    </w:pPr>
    <w:rPr>
      <w:rFonts w:ascii="Arial" w:hAnsi="Arial" w:cs="Times New Roman TUR"/>
      <w:sz w:val="18"/>
      <w:szCs w:val="18"/>
    </w:rPr>
  </w:style>
  <w:style w:type="character" w:customStyle="1" w:styleId="fieldlitZchn">
    <w:name w:val="fieldlit Zchn"/>
    <w:basedOn w:val="Standaardalinea-lettertype"/>
    <w:link w:val="fieldlit"/>
    <w:rsid w:val="00B502D8"/>
    <w:rPr>
      <w:rFonts w:ascii="Arial" w:eastAsia="Times New Roman" w:hAnsi="Arial" w:cs="Times New Roman TUR"/>
      <w:sz w:val="18"/>
      <w:szCs w:val="18"/>
      <w:lang w:eastAsia="nl-NL"/>
    </w:rPr>
  </w:style>
  <w:style w:type="character" w:styleId="Hyperlink">
    <w:name w:val="Hyperlink"/>
    <w:basedOn w:val="Standaardalinea-lettertype"/>
    <w:uiPriority w:val="99"/>
    <w:semiHidden/>
    <w:unhideWhenUsed/>
    <w:rsid w:val="003B53C2"/>
    <w:rPr>
      <w:color w:val="0000FF"/>
      <w:u w:val="single"/>
    </w:rPr>
  </w:style>
  <w:style w:type="paragraph" w:styleId="Voetnoottekst">
    <w:name w:val="footnote text"/>
    <w:basedOn w:val="Standaard"/>
    <w:link w:val="VoetnoottekstChar"/>
    <w:uiPriority w:val="99"/>
    <w:semiHidden/>
    <w:unhideWhenUsed/>
    <w:rsid w:val="009826C4"/>
    <w:rPr>
      <w:sz w:val="20"/>
      <w:szCs w:val="20"/>
    </w:rPr>
  </w:style>
  <w:style w:type="character" w:customStyle="1" w:styleId="VoetnoottekstChar">
    <w:name w:val="Voetnoottekst Char"/>
    <w:basedOn w:val="Standaardalinea-lettertype"/>
    <w:link w:val="Voetnoottekst"/>
    <w:uiPriority w:val="99"/>
    <w:semiHidden/>
    <w:rsid w:val="009826C4"/>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9826C4"/>
    <w:rPr>
      <w:vertAlign w:val="superscript"/>
    </w:rPr>
  </w:style>
  <w:style w:type="paragraph" w:styleId="Lijstalinea">
    <w:name w:val="List Paragraph"/>
    <w:basedOn w:val="Standaard"/>
    <w:uiPriority w:val="34"/>
    <w:qFormat/>
    <w:rsid w:val="00F54478"/>
    <w:pPr>
      <w:ind w:left="720"/>
      <w:contextualSpacing/>
    </w:pPr>
  </w:style>
  <w:style w:type="paragraph" w:customStyle="1" w:styleId="Default">
    <w:name w:val="Default"/>
    <w:rsid w:val="00362D7A"/>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362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015661"/>
    <w:rPr>
      <w:sz w:val="16"/>
      <w:szCs w:val="16"/>
    </w:rPr>
  </w:style>
  <w:style w:type="paragraph" w:styleId="Tekstopmerking">
    <w:name w:val="annotation text"/>
    <w:basedOn w:val="Standaard"/>
    <w:link w:val="TekstopmerkingChar"/>
    <w:uiPriority w:val="99"/>
    <w:semiHidden/>
    <w:unhideWhenUsed/>
    <w:rsid w:val="00015661"/>
    <w:rPr>
      <w:sz w:val="20"/>
      <w:szCs w:val="20"/>
    </w:rPr>
  </w:style>
  <w:style w:type="character" w:customStyle="1" w:styleId="TekstopmerkingChar">
    <w:name w:val="Tekst opmerking Char"/>
    <w:basedOn w:val="Standaardalinea-lettertype"/>
    <w:link w:val="Tekstopmerking"/>
    <w:uiPriority w:val="99"/>
    <w:semiHidden/>
    <w:rsid w:val="00015661"/>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15661"/>
    <w:rPr>
      <w:b/>
      <w:bCs/>
    </w:rPr>
  </w:style>
  <w:style w:type="character" w:customStyle="1" w:styleId="OnderwerpvanopmerkingChar">
    <w:name w:val="Onderwerp van opmerking Char"/>
    <w:basedOn w:val="TekstopmerkingChar"/>
    <w:link w:val="Onderwerpvanopmerking"/>
    <w:uiPriority w:val="99"/>
    <w:semiHidden/>
    <w:rsid w:val="00015661"/>
    <w:rPr>
      <w:b/>
      <w:bCs/>
    </w:rPr>
  </w:style>
</w:styles>
</file>

<file path=word/webSettings.xml><?xml version="1.0" encoding="utf-8"?>
<w:webSettings xmlns:r="http://schemas.openxmlformats.org/officeDocument/2006/relationships" xmlns:w="http://schemas.openxmlformats.org/wordprocessingml/2006/main">
  <w:divs>
    <w:div w:id="594825443">
      <w:bodyDiv w:val="1"/>
      <w:marLeft w:val="0"/>
      <w:marRight w:val="0"/>
      <w:marTop w:val="0"/>
      <w:marBottom w:val="0"/>
      <w:divBdr>
        <w:top w:val="none" w:sz="0" w:space="0" w:color="auto"/>
        <w:left w:val="none" w:sz="0" w:space="0" w:color="auto"/>
        <w:bottom w:val="none" w:sz="0" w:space="0" w:color="auto"/>
        <w:right w:val="none" w:sz="0" w:space="0" w:color="auto"/>
      </w:divBdr>
    </w:div>
    <w:div w:id="7276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ropbox\not%20ab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ropbox\not%20abl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ropbox\not%20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plotArea>
      <c:layout/>
      <c:barChart>
        <c:barDir val="col"/>
        <c:grouping val="percentStacked"/>
        <c:ser>
          <c:idx val="0"/>
          <c:order val="0"/>
          <c:tx>
            <c:strRef>
              <c:f>Blad5!$C$2</c:f>
              <c:strCache>
                <c:ptCount val="1"/>
                <c:pt idx="0">
                  <c:v>interview</c:v>
                </c:pt>
              </c:strCache>
            </c:strRef>
          </c:tx>
          <c:spPr>
            <a:solidFill>
              <a:srgbClr val="00B050"/>
            </a:solidFill>
            <a:ln>
              <a:solidFill>
                <a:prstClr val="black"/>
              </a:solidFill>
            </a:ln>
          </c:spPr>
          <c:cat>
            <c:multiLvlStrRef>
              <c:f>Blad5!$A$3:$B$41</c:f>
              <c:multiLvlStrCache>
                <c:ptCount val="39"/>
                <c:lvl>
                  <c:pt idx="0">
                    <c:v>R1</c:v>
                  </c:pt>
                  <c:pt idx="1">
                    <c:v>R2</c:v>
                  </c:pt>
                  <c:pt idx="2">
                    <c:v>R3</c:v>
                  </c:pt>
                  <c:pt idx="3">
                    <c:v>R4</c:v>
                  </c:pt>
                  <c:pt idx="5">
                    <c:v>R1</c:v>
                  </c:pt>
                  <c:pt idx="6">
                    <c:v>R2</c:v>
                  </c:pt>
                  <c:pt idx="7">
                    <c:v>R3</c:v>
                  </c:pt>
                  <c:pt idx="8">
                    <c:v>R4</c:v>
                  </c:pt>
                  <c:pt idx="10">
                    <c:v>R1</c:v>
                  </c:pt>
                  <c:pt idx="11">
                    <c:v>R2</c:v>
                  </c:pt>
                  <c:pt idx="12">
                    <c:v>R3</c:v>
                  </c:pt>
                  <c:pt idx="13">
                    <c:v>R4</c:v>
                  </c:pt>
                  <c:pt idx="15">
                    <c:v>R1</c:v>
                  </c:pt>
                  <c:pt idx="16">
                    <c:v>R2</c:v>
                  </c:pt>
                  <c:pt idx="17">
                    <c:v>R3</c:v>
                  </c:pt>
                  <c:pt idx="18">
                    <c:v>R4</c:v>
                  </c:pt>
                  <c:pt idx="20">
                    <c:v>R1</c:v>
                  </c:pt>
                  <c:pt idx="21">
                    <c:v>R2</c:v>
                  </c:pt>
                  <c:pt idx="22">
                    <c:v>R3</c:v>
                  </c:pt>
                  <c:pt idx="23">
                    <c:v>R4</c:v>
                  </c:pt>
                  <c:pt idx="25">
                    <c:v>R1</c:v>
                  </c:pt>
                  <c:pt idx="26">
                    <c:v>R2</c:v>
                  </c:pt>
                  <c:pt idx="27">
                    <c:v>R3</c:v>
                  </c:pt>
                  <c:pt idx="28">
                    <c:v>R4</c:v>
                  </c:pt>
                  <c:pt idx="30">
                    <c:v>R1</c:v>
                  </c:pt>
                  <c:pt idx="31">
                    <c:v>R2</c:v>
                  </c:pt>
                  <c:pt idx="32">
                    <c:v>R3</c:v>
                  </c:pt>
                  <c:pt idx="33">
                    <c:v>R4</c:v>
                  </c:pt>
                  <c:pt idx="35">
                    <c:v>R1</c:v>
                  </c:pt>
                  <c:pt idx="36">
                    <c:v>R2</c:v>
                  </c:pt>
                  <c:pt idx="37">
                    <c:v>R3</c:v>
                  </c:pt>
                  <c:pt idx="38">
                    <c:v>R4</c:v>
                  </c:pt>
                </c:lvl>
                <c:lvl>
                  <c:pt idx="0">
                    <c:v>BE</c:v>
                  </c:pt>
                  <c:pt idx="5">
                    <c:v>CH</c:v>
                  </c:pt>
                  <c:pt idx="10">
                    <c:v>DE</c:v>
                  </c:pt>
                  <c:pt idx="15">
                    <c:v>DK</c:v>
                  </c:pt>
                  <c:pt idx="20">
                    <c:v>ES</c:v>
                  </c:pt>
                  <c:pt idx="25">
                    <c:v>FI</c:v>
                  </c:pt>
                  <c:pt idx="30">
                    <c:v>FR</c:v>
                  </c:pt>
                  <c:pt idx="35">
                    <c:v>HU</c:v>
                  </c:pt>
                </c:lvl>
              </c:multiLvlStrCache>
            </c:multiLvlStrRef>
          </c:cat>
          <c:val>
            <c:numRef>
              <c:f>Blad5!$C$3:$C$41</c:f>
              <c:numCache>
                <c:formatCode>General</c:formatCode>
                <c:ptCount val="39"/>
                <c:pt idx="0">
                  <c:v>58.4</c:v>
                </c:pt>
                <c:pt idx="1">
                  <c:v>61.2</c:v>
                </c:pt>
                <c:pt idx="2">
                  <c:v>61</c:v>
                </c:pt>
                <c:pt idx="3">
                  <c:v>59</c:v>
                </c:pt>
                <c:pt idx="5">
                  <c:v>32.5</c:v>
                </c:pt>
                <c:pt idx="6">
                  <c:v>48.5</c:v>
                </c:pt>
                <c:pt idx="7">
                  <c:v>50</c:v>
                </c:pt>
                <c:pt idx="8">
                  <c:v>48.8</c:v>
                </c:pt>
                <c:pt idx="10">
                  <c:v>51.7</c:v>
                </c:pt>
                <c:pt idx="11">
                  <c:v>51</c:v>
                </c:pt>
                <c:pt idx="12">
                  <c:v>52.9</c:v>
                </c:pt>
                <c:pt idx="13">
                  <c:v>42.7</c:v>
                </c:pt>
                <c:pt idx="15">
                  <c:v>68.400000000000006</c:v>
                </c:pt>
                <c:pt idx="16">
                  <c:v>64.2</c:v>
                </c:pt>
                <c:pt idx="17">
                  <c:v>50.8</c:v>
                </c:pt>
                <c:pt idx="18">
                  <c:v>53.6</c:v>
                </c:pt>
                <c:pt idx="20">
                  <c:v>51.5</c:v>
                </c:pt>
                <c:pt idx="21">
                  <c:v>54.9</c:v>
                </c:pt>
                <c:pt idx="22">
                  <c:v>66.2</c:v>
                </c:pt>
                <c:pt idx="23">
                  <c:v>66.8</c:v>
                </c:pt>
                <c:pt idx="25">
                  <c:v>73.3</c:v>
                </c:pt>
                <c:pt idx="26">
                  <c:v>70.7</c:v>
                </c:pt>
                <c:pt idx="27">
                  <c:v>64.400000000000006</c:v>
                </c:pt>
                <c:pt idx="28">
                  <c:v>68.400000000000006</c:v>
                </c:pt>
                <c:pt idx="30">
                  <c:v>43.1</c:v>
                </c:pt>
                <c:pt idx="31">
                  <c:v>43.6</c:v>
                </c:pt>
                <c:pt idx="32">
                  <c:v>46</c:v>
                </c:pt>
                <c:pt idx="33">
                  <c:v>49.9</c:v>
                </c:pt>
                <c:pt idx="34">
                  <c:v>0</c:v>
                </c:pt>
                <c:pt idx="35">
                  <c:v>69.3</c:v>
                </c:pt>
                <c:pt idx="36">
                  <c:v>66.599999999999994</c:v>
                </c:pt>
                <c:pt idx="37">
                  <c:v>66</c:v>
                </c:pt>
                <c:pt idx="38">
                  <c:v>61.3</c:v>
                </c:pt>
              </c:numCache>
            </c:numRef>
          </c:val>
        </c:ser>
        <c:ser>
          <c:idx val="1"/>
          <c:order val="1"/>
          <c:tx>
            <c:strRef>
              <c:f>Blad5!$D$2</c:f>
              <c:strCache>
                <c:ptCount val="1"/>
                <c:pt idx="0">
                  <c:v>noncontact</c:v>
                </c:pt>
              </c:strCache>
            </c:strRef>
          </c:tx>
          <c:spPr>
            <a:solidFill>
              <a:schemeClr val="tx2"/>
            </a:solidFill>
            <a:ln>
              <a:solidFill>
                <a:schemeClr val="tx1"/>
              </a:solidFill>
            </a:ln>
          </c:spPr>
          <c:cat>
            <c:multiLvlStrRef>
              <c:f>Blad5!$A$3:$B$41</c:f>
              <c:multiLvlStrCache>
                <c:ptCount val="39"/>
                <c:lvl>
                  <c:pt idx="0">
                    <c:v>R1</c:v>
                  </c:pt>
                  <c:pt idx="1">
                    <c:v>R2</c:v>
                  </c:pt>
                  <c:pt idx="2">
                    <c:v>R3</c:v>
                  </c:pt>
                  <c:pt idx="3">
                    <c:v>R4</c:v>
                  </c:pt>
                  <c:pt idx="5">
                    <c:v>R1</c:v>
                  </c:pt>
                  <c:pt idx="6">
                    <c:v>R2</c:v>
                  </c:pt>
                  <c:pt idx="7">
                    <c:v>R3</c:v>
                  </c:pt>
                  <c:pt idx="8">
                    <c:v>R4</c:v>
                  </c:pt>
                  <c:pt idx="10">
                    <c:v>R1</c:v>
                  </c:pt>
                  <c:pt idx="11">
                    <c:v>R2</c:v>
                  </c:pt>
                  <c:pt idx="12">
                    <c:v>R3</c:v>
                  </c:pt>
                  <c:pt idx="13">
                    <c:v>R4</c:v>
                  </c:pt>
                  <c:pt idx="15">
                    <c:v>R1</c:v>
                  </c:pt>
                  <c:pt idx="16">
                    <c:v>R2</c:v>
                  </c:pt>
                  <c:pt idx="17">
                    <c:v>R3</c:v>
                  </c:pt>
                  <c:pt idx="18">
                    <c:v>R4</c:v>
                  </c:pt>
                  <c:pt idx="20">
                    <c:v>R1</c:v>
                  </c:pt>
                  <c:pt idx="21">
                    <c:v>R2</c:v>
                  </c:pt>
                  <c:pt idx="22">
                    <c:v>R3</c:v>
                  </c:pt>
                  <c:pt idx="23">
                    <c:v>R4</c:v>
                  </c:pt>
                  <c:pt idx="25">
                    <c:v>R1</c:v>
                  </c:pt>
                  <c:pt idx="26">
                    <c:v>R2</c:v>
                  </c:pt>
                  <c:pt idx="27">
                    <c:v>R3</c:v>
                  </c:pt>
                  <c:pt idx="28">
                    <c:v>R4</c:v>
                  </c:pt>
                  <c:pt idx="30">
                    <c:v>R1</c:v>
                  </c:pt>
                  <c:pt idx="31">
                    <c:v>R2</c:v>
                  </c:pt>
                  <c:pt idx="32">
                    <c:v>R3</c:v>
                  </c:pt>
                  <c:pt idx="33">
                    <c:v>R4</c:v>
                  </c:pt>
                  <c:pt idx="35">
                    <c:v>R1</c:v>
                  </c:pt>
                  <c:pt idx="36">
                    <c:v>R2</c:v>
                  </c:pt>
                  <c:pt idx="37">
                    <c:v>R3</c:v>
                  </c:pt>
                  <c:pt idx="38">
                    <c:v>R4</c:v>
                  </c:pt>
                </c:lvl>
                <c:lvl>
                  <c:pt idx="0">
                    <c:v>BE</c:v>
                  </c:pt>
                  <c:pt idx="5">
                    <c:v>CH</c:v>
                  </c:pt>
                  <c:pt idx="10">
                    <c:v>DE</c:v>
                  </c:pt>
                  <c:pt idx="15">
                    <c:v>DK</c:v>
                  </c:pt>
                  <c:pt idx="20">
                    <c:v>ES</c:v>
                  </c:pt>
                  <c:pt idx="25">
                    <c:v>FI</c:v>
                  </c:pt>
                  <c:pt idx="30">
                    <c:v>FR</c:v>
                  </c:pt>
                  <c:pt idx="35">
                    <c:v>HU</c:v>
                  </c:pt>
                </c:lvl>
              </c:multiLvlStrCache>
            </c:multiLvlStrRef>
          </c:cat>
          <c:val>
            <c:numRef>
              <c:f>Blad5!$D$3:$D$41</c:f>
              <c:numCache>
                <c:formatCode>General</c:formatCode>
                <c:ptCount val="39"/>
                <c:pt idx="0">
                  <c:v>4.5</c:v>
                </c:pt>
                <c:pt idx="1">
                  <c:v>3.5</c:v>
                </c:pt>
                <c:pt idx="2">
                  <c:v>2.9</c:v>
                </c:pt>
                <c:pt idx="3">
                  <c:v>2.2000000000000002</c:v>
                </c:pt>
                <c:pt idx="5">
                  <c:v>3.8</c:v>
                </c:pt>
                <c:pt idx="6">
                  <c:v>2.1</c:v>
                </c:pt>
                <c:pt idx="7">
                  <c:v>2.2000000000000002</c:v>
                </c:pt>
                <c:pt idx="8">
                  <c:v>8.7000000000000011</c:v>
                </c:pt>
                <c:pt idx="10">
                  <c:v>5.7</c:v>
                </c:pt>
                <c:pt idx="11">
                  <c:v>7</c:v>
                </c:pt>
                <c:pt idx="12">
                  <c:v>5</c:v>
                </c:pt>
                <c:pt idx="13">
                  <c:v>6.4</c:v>
                </c:pt>
                <c:pt idx="15">
                  <c:v>4.5999999999999996</c:v>
                </c:pt>
                <c:pt idx="16">
                  <c:v>4.9000000000000004</c:v>
                </c:pt>
                <c:pt idx="17">
                  <c:v>3.3</c:v>
                </c:pt>
                <c:pt idx="18">
                  <c:v>0.30000000000000032</c:v>
                </c:pt>
                <c:pt idx="20">
                  <c:v>7.6</c:v>
                </c:pt>
                <c:pt idx="21">
                  <c:v>7.1</c:v>
                </c:pt>
                <c:pt idx="22">
                  <c:v>3.3</c:v>
                </c:pt>
                <c:pt idx="23">
                  <c:v>2.6</c:v>
                </c:pt>
                <c:pt idx="25">
                  <c:v>2.9</c:v>
                </c:pt>
                <c:pt idx="26">
                  <c:v>2.1</c:v>
                </c:pt>
                <c:pt idx="27">
                  <c:v>2.7</c:v>
                </c:pt>
                <c:pt idx="28">
                  <c:v>2.6</c:v>
                </c:pt>
                <c:pt idx="30">
                  <c:v>14.7</c:v>
                </c:pt>
                <c:pt idx="31">
                  <c:v>8.6</c:v>
                </c:pt>
                <c:pt idx="32">
                  <c:v>6.6</c:v>
                </c:pt>
                <c:pt idx="33">
                  <c:v>7.7</c:v>
                </c:pt>
                <c:pt idx="34">
                  <c:v>0</c:v>
                </c:pt>
                <c:pt idx="35">
                  <c:v>3.1</c:v>
                </c:pt>
                <c:pt idx="36">
                  <c:v>5.7</c:v>
                </c:pt>
                <c:pt idx="37">
                  <c:v>2.9</c:v>
                </c:pt>
                <c:pt idx="38">
                  <c:v>2.5</c:v>
                </c:pt>
              </c:numCache>
            </c:numRef>
          </c:val>
        </c:ser>
        <c:ser>
          <c:idx val="2"/>
          <c:order val="2"/>
          <c:tx>
            <c:strRef>
              <c:f>Blad5!$E$2</c:f>
              <c:strCache>
                <c:ptCount val="1"/>
                <c:pt idx="0">
                  <c:v>not able/other</c:v>
                </c:pt>
              </c:strCache>
            </c:strRef>
          </c:tx>
          <c:spPr>
            <a:solidFill>
              <a:srgbClr val="FFFF00"/>
            </a:solidFill>
            <a:ln>
              <a:solidFill>
                <a:prstClr val="black"/>
              </a:solidFill>
            </a:ln>
          </c:spPr>
          <c:cat>
            <c:multiLvlStrRef>
              <c:f>Blad5!$A$3:$B$41</c:f>
              <c:multiLvlStrCache>
                <c:ptCount val="39"/>
                <c:lvl>
                  <c:pt idx="0">
                    <c:v>R1</c:v>
                  </c:pt>
                  <c:pt idx="1">
                    <c:v>R2</c:v>
                  </c:pt>
                  <c:pt idx="2">
                    <c:v>R3</c:v>
                  </c:pt>
                  <c:pt idx="3">
                    <c:v>R4</c:v>
                  </c:pt>
                  <c:pt idx="5">
                    <c:v>R1</c:v>
                  </c:pt>
                  <c:pt idx="6">
                    <c:v>R2</c:v>
                  </c:pt>
                  <c:pt idx="7">
                    <c:v>R3</c:v>
                  </c:pt>
                  <c:pt idx="8">
                    <c:v>R4</c:v>
                  </c:pt>
                  <c:pt idx="10">
                    <c:v>R1</c:v>
                  </c:pt>
                  <c:pt idx="11">
                    <c:v>R2</c:v>
                  </c:pt>
                  <c:pt idx="12">
                    <c:v>R3</c:v>
                  </c:pt>
                  <c:pt idx="13">
                    <c:v>R4</c:v>
                  </c:pt>
                  <c:pt idx="15">
                    <c:v>R1</c:v>
                  </c:pt>
                  <c:pt idx="16">
                    <c:v>R2</c:v>
                  </c:pt>
                  <c:pt idx="17">
                    <c:v>R3</c:v>
                  </c:pt>
                  <c:pt idx="18">
                    <c:v>R4</c:v>
                  </c:pt>
                  <c:pt idx="20">
                    <c:v>R1</c:v>
                  </c:pt>
                  <c:pt idx="21">
                    <c:v>R2</c:v>
                  </c:pt>
                  <c:pt idx="22">
                    <c:v>R3</c:v>
                  </c:pt>
                  <c:pt idx="23">
                    <c:v>R4</c:v>
                  </c:pt>
                  <c:pt idx="25">
                    <c:v>R1</c:v>
                  </c:pt>
                  <c:pt idx="26">
                    <c:v>R2</c:v>
                  </c:pt>
                  <c:pt idx="27">
                    <c:v>R3</c:v>
                  </c:pt>
                  <c:pt idx="28">
                    <c:v>R4</c:v>
                  </c:pt>
                  <c:pt idx="30">
                    <c:v>R1</c:v>
                  </c:pt>
                  <c:pt idx="31">
                    <c:v>R2</c:v>
                  </c:pt>
                  <c:pt idx="32">
                    <c:v>R3</c:v>
                  </c:pt>
                  <c:pt idx="33">
                    <c:v>R4</c:v>
                  </c:pt>
                  <c:pt idx="35">
                    <c:v>R1</c:v>
                  </c:pt>
                  <c:pt idx="36">
                    <c:v>R2</c:v>
                  </c:pt>
                  <c:pt idx="37">
                    <c:v>R3</c:v>
                  </c:pt>
                  <c:pt idx="38">
                    <c:v>R4</c:v>
                  </c:pt>
                </c:lvl>
                <c:lvl>
                  <c:pt idx="0">
                    <c:v>BE</c:v>
                  </c:pt>
                  <c:pt idx="5">
                    <c:v>CH</c:v>
                  </c:pt>
                  <c:pt idx="10">
                    <c:v>DE</c:v>
                  </c:pt>
                  <c:pt idx="15">
                    <c:v>DK</c:v>
                  </c:pt>
                  <c:pt idx="20">
                    <c:v>ES</c:v>
                  </c:pt>
                  <c:pt idx="25">
                    <c:v>FI</c:v>
                  </c:pt>
                  <c:pt idx="30">
                    <c:v>FR</c:v>
                  </c:pt>
                  <c:pt idx="35">
                    <c:v>HU</c:v>
                  </c:pt>
                </c:lvl>
              </c:multiLvlStrCache>
            </c:multiLvlStrRef>
          </c:cat>
          <c:val>
            <c:numRef>
              <c:f>Blad5!$E$3:$E$41</c:f>
              <c:numCache>
                <c:formatCode>General</c:formatCode>
                <c:ptCount val="39"/>
                <c:pt idx="0">
                  <c:v>11.900000000000006</c:v>
                </c:pt>
                <c:pt idx="1">
                  <c:v>8.9000000000000057</c:v>
                </c:pt>
                <c:pt idx="2">
                  <c:v>12</c:v>
                </c:pt>
                <c:pt idx="3">
                  <c:v>12.900000000000006</c:v>
                </c:pt>
                <c:pt idx="5">
                  <c:v>12.5</c:v>
                </c:pt>
                <c:pt idx="6">
                  <c:v>5.4000000000000083</c:v>
                </c:pt>
                <c:pt idx="7">
                  <c:v>7.0999999999999943</c:v>
                </c:pt>
                <c:pt idx="8">
                  <c:v>9.1000000000000014</c:v>
                </c:pt>
                <c:pt idx="10">
                  <c:v>14.400000000000002</c:v>
                </c:pt>
                <c:pt idx="11">
                  <c:v>9.2000000000000011</c:v>
                </c:pt>
                <c:pt idx="12">
                  <c:v>16.700000000000003</c:v>
                </c:pt>
                <c:pt idx="13">
                  <c:v>18.299999999999986</c:v>
                </c:pt>
                <c:pt idx="15">
                  <c:v>4</c:v>
                </c:pt>
                <c:pt idx="16">
                  <c:v>6.2999999999999829</c:v>
                </c:pt>
                <c:pt idx="17">
                  <c:v>8</c:v>
                </c:pt>
                <c:pt idx="18">
                  <c:v>13.200000000000003</c:v>
                </c:pt>
                <c:pt idx="20">
                  <c:v>7</c:v>
                </c:pt>
                <c:pt idx="21">
                  <c:v>12.900000000000006</c:v>
                </c:pt>
                <c:pt idx="22">
                  <c:v>8.8000000000000025</c:v>
                </c:pt>
                <c:pt idx="23">
                  <c:v>14.5</c:v>
                </c:pt>
                <c:pt idx="25">
                  <c:v>3</c:v>
                </c:pt>
                <c:pt idx="26">
                  <c:v>4.5</c:v>
                </c:pt>
                <c:pt idx="27">
                  <c:v>9.7000000000000011</c:v>
                </c:pt>
                <c:pt idx="28">
                  <c:v>8.1000000000000014</c:v>
                </c:pt>
                <c:pt idx="30">
                  <c:v>3.7000000000000042</c:v>
                </c:pt>
                <c:pt idx="31">
                  <c:v>8.5</c:v>
                </c:pt>
                <c:pt idx="32">
                  <c:v>6.7999999999999972</c:v>
                </c:pt>
                <c:pt idx="33">
                  <c:v>6.0999999999999943</c:v>
                </c:pt>
                <c:pt idx="34">
                  <c:v>0</c:v>
                </c:pt>
                <c:pt idx="35">
                  <c:v>12.700000000000003</c:v>
                </c:pt>
                <c:pt idx="36">
                  <c:v>12.700000000000003</c:v>
                </c:pt>
                <c:pt idx="37">
                  <c:v>4.6999999999999886</c:v>
                </c:pt>
                <c:pt idx="38">
                  <c:v>8.7000000000000011</c:v>
                </c:pt>
              </c:numCache>
            </c:numRef>
          </c:val>
        </c:ser>
        <c:ser>
          <c:idx val="3"/>
          <c:order val="3"/>
          <c:tx>
            <c:strRef>
              <c:f>Blad5!$F$2</c:f>
              <c:strCache>
                <c:ptCount val="1"/>
                <c:pt idx="0">
                  <c:v>refusal</c:v>
                </c:pt>
              </c:strCache>
            </c:strRef>
          </c:tx>
          <c:spPr>
            <a:solidFill>
              <a:srgbClr val="FF0000"/>
            </a:solidFill>
            <a:ln>
              <a:solidFill>
                <a:prstClr val="black"/>
              </a:solidFill>
            </a:ln>
          </c:spPr>
          <c:cat>
            <c:multiLvlStrRef>
              <c:f>Blad5!$A$3:$B$41</c:f>
              <c:multiLvlStrCache>
                <c:ptCount val="39"/>
                <c:lvl>
                  <c:pt idx="0">
                    <c:v>R1</c:v>
                  </c:pt>
                  <c:pt idx="1">
                    <c:v>R2</c:v>
                  </c:pt>
                  <c:pt idx="2">
                    <c:v>R3</c:v>
                  </c:pt>
                  <c:pt idx="3">
                    <c:v>R4</c:v>
                  </c:pt>
                  <c:pt idx="5">
                    <c:v>R1</c:v>
                  </c:pt>
                  <c:pt idx="6">
                    <c:v>R2</c:v>
                  </c:pt>
                  <c:pt idx="7">
                    <c:v>R3</c:v>
                  </c:pt>
                  <c:pt idx="8">
                    <c:v>R4</c:v>
                  </c:pt>
                  <c:pt idx="10">
                    <c:v>R1</c:v>
                  </c:pt>
                  <c:pt idx="11">
                    <c:v>R2</c:v>
                  </c:pt>
                  <c:pt idx="12">
                    <c:v>R3</c:v>
                  </c:pt>
                  <c:pt idx="13">
                    <c:v>R4</c:v>
                  </c:pt>
                  <c:pt idx="15">
                    <c:v>R1</c:v>
                  </c:pt>
                  <c:pt idx="16">
                    <c:v>R2</c:v>
                  </c:pt>
                  <c:pt idx="17">
                    <c:v>R3</c:v>
                  </c:pt>
                  <c:pt idx="18">
                    <c:v>R4</c:v>
                  </c:pt>
                  <c:pt idx="20">
                    <c:v>R1</c:v>
                  </c:pt>
                  <c:pt idx="21">
                    <c:v>R2</c:v>
                  </c:pt>
                  <c:pt idx="22">
                    <c:v>R3</c:v>
                  </c:pt>
                  <c:pt idx="23">
                    <c:v>R4</c:v>
                  </c:pt>
                  <c:pt idx="25">
                    <c:v>R1</c:v>
                  </c:pt>
                  <c:pt idx="26">
                    <c:v>R2</c:v>
                  </c:pt>
                  <c:pt idx="27">
                    <c:v>R3</c:v>
                  </c:pt>
                  <c:pt idx="28">
                    <c:v>R4</c:v>
                  </c:pt>
                  <c:pt idx="30">
                    <c:v>R1</c:v>
                  </c:pt>
                  <c:pt idx="31">
                    <c:v>R2</c:v>
                  </c:pt>
                  <c:pt idx="32">
                    <c:v>R3</c:v>
                  </c:pt>
                  <c:pt idx="33">
                    <c:v>R4</c:v>
                  </c:pt>
                  <c:pt idx="35">
                    <c:v>R1</c:v>
                  </c:pt>
                  <c:pt idx="36">
                    <c:v>R2</c:v>
                  </c:pt>
                  <c:pt idx="37">
                    <c:v>R3</c:v>
                  </c:pt>
                  <c:pt idx="38">
                    <c:v>R4</c:v>
                  </c:pt>
                </c:lvl>
                <c:lvl>
                  <c:pt idx="0">
                    <c:v>BE</c:v>
                  </c:pt>
                  <c:pt idx="5">
                    <c:v>CH</c:v>
                  </c:pt>
                  <c:pt idx="10">
                    <c:v>DE</c:v>
                  </c:pt>
                  <c:pt idx="15">
                    <c:v>DK</c:v>
                  </c:pt>
                  <c:pt idx="20">
                    <c:v>ES</c:v>
                  </c:pt>
                  <c:pt idx="25">
                    <c:v>FI</c:v>
                  </c:pt>
                  <c:pt idx="30">
                    <c:v>FR</c:v>
                  </c:pt>
                  <c:pt idx="35">
                    <c:v>HU</c:v>
                  </c:pt>
                </c:lvl>
              </c:multiLvlStrCache>
            </c:multiLvlStrRef>
          </c:cat>
          <c:val>
            <c:numRef>
              <c:f>Blad5!$F$3:$F$41</c:f>
              <c:numCache>
                <c:formatCode>General</c:formatCode>
                <c:ptCount val="39"/>
                <c:pt idx="0">
                  <c:v>25.2</c:v>
                </c:pt>
                <c:pt idx="1">
                  <c:v>26.4</c:v>
                </c:pt>
                <c:pt idx="2">
                  <c:v>24.1</c:v>
                </c:pt>
                <c:pt idx="3">
                  <c:v>25.9</c:v>
                </c:pt>
                <c:pt idx="5">
                  <c:v>51.2</c:v>
                </c:pt>
                <c:pt idx="6">
                  <c:v>44</c:v>
                </c:pt>
                <c:pt idx="7">
                  <c:v>40.700000000000003</c:v>
                </c:pt>
                <c:pt idx="8">
                  <c:v>33.4</c:v>
                </c:pt>
                <c:pt idx="10">
                  <c:v>28.2</c:v>
                </c:pt>
                <c:pt idx="11">
                  <c:v>32.800000000000004</c:v>
                </c:pt>
                <c:pt idx="12">
                  <c:v>25.4</c:v>
                </c:pt>
                <c:pt idx="13">
                  <c:v>32.6</c:v>
                </c:pt>
                <c:pt idx="15">
                  <c:v>23</c:v>
                </c:pt>
                <c:pt idx="16">
                  <c:v>24.6</c:v>
                </c:pt>
                <c:pt idx="17">
                  <c:v>37.9</c:v>
                </c:pt>
                <c:pt idx="18">
                  <c:v>32.9</c:v>
                </c:pt>
                <c:pt idx="20">
                  <c:v>33.9</c:v>
                </c:pt>
                <c:pt idx="21">
                  <c:v>25.1</c:v>
                </c:pt>
                <c:pt idx="22">
                  <c:v>21.7</c:v>
                </c:pt>
                <c:pt idx="23">
                  <c:v>16.100000000000001</c:v>
                </c:pt>
                <c:pt idx="25">
                  <c:v>20.8</c:v>
                </c:pt>
                <c:pt idx="26">
                  <c:v>22.7</c:v>
                </c:pt>
                <c:pt idx="27">
                  <c:v>23.2</c:v>
                </c:pt>
                <c:pt idx="28">
                  <c:v>20.9</c:v>
                </c:pt>
                <c:pt idx="30">
                  <c:v>38.5</c:v>
                </c:pt>
                <c:pt idx="31">
                  <c:v>39.300000000000004</c:v>
                </c:pt>
                <c:pt idx="32">
                  <c:v>40.6</c:v>
                </c:pt>
                <c:pt idx="33">
                  <c:v>36.300000000000004</c:v>
                </c:pt>
                <c:pt idx="34">
                  <c:v>0</c:v>
                </c:pt>
                <c:pt idx="35">
                  <c:v>14.9</c:v>
                </c:pt>
                <c:pt idx="36">
                  <c:v>15</c:v>
                </c:pt>
                <c:pt idx="37">
                  <c:v>26.4</c:v>
                </c:pt>
                <c:pt idx="38">
                  <c:v>27.5</c:v>
                </c:pt>
              </c:numCache>
            </c:numRef>
          </c:val>
        </c:ser>
        <c:gapWidth val="50"/>
        <c:overlap val="100"/>
        <c:axId val="72807168"/>
        <c:axId val="72808704"/>
      </c:barChart>
      <c:catAx>
        <c:axId val="72807168"/>
        <c:scaling>
          <c:orientation val="minMax"/>
        </c:scaling>
        <c:axPos val="b"/>
        <c:tickLblPos val="nextTo"/>
        <c:txPr>
          <a:bodyPr/>
          <a:lstStyle/>
          <a:p>
            <a:pPr>
              <a:defRPr sz="800" baseline="0"/>
            </a:pPr>
            <a:endParaRPr lang="nl-NL"/>
          </a:p>
        </c:txPr>
        <c:crossAx val="72808704"/>
        <c:crosses val="autoZero"/>
        <c:auto val="1"/>
        <c:lblAlgn val="ctr"/>
        <c:lblOffset val="100"/>
        <c:tickLblSkip val="1"/>
      </c:catAx>
      <c:valAx>
        <c:axId val="72808704"/>
        <c:scaling>
          <c:orientation val="minMax"/>
        </c:scaling>
        <c:axPos val="l"/>
        <c:majorGridlines/>
        <c:numFmt formatCode="0%" sourceLinked="1"/>
        <c:tickLblPos val="nextTo"/>
        <c:crossAx val="7280716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plotArea>
      <c:layout/>
      <c:barChart>
        <c:barDir val="col"/>
        <c:grouping val="percentStacked"/>
        <c:ser>
          <c:idx val="0"/>
          <c:order val="0"/>
          <c:tx>
            <c:v>Interview</c:v>
          </c:tx>
          <c:spPr>
            <a:solidFill>
              <a:srgbClr val="00B050"/>
            </a:solidFill>
            <a:ln>
              <a:solidFill>
                <a:prstClr val="black"/>
              </a:solidFill>
            </a:ln>
          </c:spPr>
          <c:cat>
            <c:multiLvlStrRef>
              <c:f>Blad5!$A$43:$B$81</c:f>
              <c:multiLvlStrCache>
                <c:ptCount val="39"/>
                <c:lvl>
                  <c:pt idx="0">
                    <c:v>R1</c:v>
                  </c:pt>
                  <c:pt idx="1">
                    <c:v>R2</c:v>
                  </c:pt>
                  <c:pt idx="2">
                    <c:v>R3</c:v>
                  </c:pt>
                  <c:pt idx="3">
                    <c:v>R4</c:v>
                  </c:pt>
                  <c:pt idx="5">
                    <c:v>R1</c:v>
                  </c:pt>
                  <c:pt idx="6">
                    <c:v>R2</c:v>
                  </c:pt>
                  <c:pt idx="7">
                    <c:v>R3</c:v>
                  </c:pt>
                  <c:pt idx="8">
                    <c:v>R4</c:v>
                  </c:pt>
                  <c:pt idx="10">
                    <c:v>R1</c:v>
                  </c:pt>
                  <c:pt idx="11">
                    <c:v>R2</c:v>
                  </c:pt>
                  <c:pt idx="12">
                    <c:v>R3</c:v>
                  </c:pt>
                  <c:pt idx="13">
                    <c:v>R4</c:v>
                  </c:pt>
                  <c:pt idx="15">
                    <c:v>R1</c:v>
                  </c:pt>
                  <c:pt idx="16">
                    <c:v>R2</c:v>
                  </c:pt>
                  <c:pt idx="17">
                    <c:v>R3</c:v>
                  </c:pt>
                  <c:pt idx="18">
                    <c:v>R4</c:v>
                  </c:pt>
                  <c:pt idx="20">
                    <c:v>R1</c:v>
                  </c:pt>
                  <c:pt idx="21">
                    <c:v>R2</c:v>
                  </c:pt>
                  <c:pt idx="22">
                    <c:v>R3</c:v>
                  </c:pt>
                  <c:pt idx="23">
                    <c:v>R4</c:v>
                  </c:pt>
                  <c:pt idx="25">
                    <c:v>R1</c:v>
                  </c:pt>
                  <c:pt idx="26">
                    <c:v>R2</c:v>
                  </c:pt>
                  <c:pt idx="27">
                    <c:v>R3</c:v>
                  </c:pt>
                  <c:pt idx="28">
                    <c:v>R4</c:v>
                  </c:pt>
                  <c:pt idx="30">
                    <c:v>R1</c:v>
                  </c:pt>
                  <c:pt idx="31">
                    <c:v>R2</c:v>
                  </c:pt>
                  <c:pt idx="32">
                    <c:v>R3</c:v>
                  </c:pt>
                  <c:pt idx="33">
                    <c:v>R4</c:v>
                  </c:pt>
                  <c:pt idx="35">
                    <c:v>R1</c:v>
                  </c:pt>
                  <c:pt idx="36">
                    <c:v>R2</c:v>
                  </c:pt>
                  <c:pt idx="37">
                    <c:v>R3</c:v>
                  </c:pt>
                  <c:pt idx="38">
                    <c:v>R4</c:v>
                  </c:pt>
                </c:lvl>
                <c:lvl>
                  <c:pt idx="0">
                    <c:v>IE</c:v>
                  </c:pt>
                  <c:pt idx="5">
                    <c:v>NL</c:v>
                  </c:pt>
                  <c:pt idx="10">
                    <c:v>NO</c:v>
                  </c:pt>
                  <c:pt idx="15">
                    <c:v>PL</c:v>
                  </c:pt>
                  <c:pt idx="20">
                    <c:v>PT</c:v>
                  </c:pt>
                  <c:pt idx="25">
                    <c:v>SE</c:v>
                  </c:pt>
                  <c:pt idx="30">
                    <c:v>SI</c:v>
                  </c:pt>
                  <c:pt idx="35">
                    <c:v>UK</c:v>
                  </c:pt>
                </c:lvl>
              </c:multiLvlStrCache>
            </c:multiLvlStrRef>
          </c:cat>
          <c:val>
            <c:numRef>
              <c:f>Blad5!$C$43:$C$81</c:f>
              <c:numCache>
                <c:formatCode>General</c:formatCode>
                <c:ptCount val="39"/>
                <c:pt idx="0">
                  <c:v>64.400000000000006</c:v>
                </c:pt>
                <c:pt idx="1">
                  <c:v>62</c:v>
                </c:pt>
                <c:pt idx="2">
                  <c:v>50.4</c:v>
                </c:pt>
                <c:pt idx="3">
                  <c:v>49.2</c:v>
                </c:pt>
                <c:pt idx="5">
                  <c:v>67.8</c:v>
                </c:pt>
                <c:pt idx="6">
                  <c:v>64.3</c:v>
                </c:pt>
                <c:pt idx="7">
                  <c:v>59.8</c:v>
                </c:pt>
                <c:pt idx="8">
                  <c:v>49.8</c:v>
                </c:pt>
                <c:pt idx="10">
                  <c:v>65</c:v>
                </c:pt>
                <c:pt idx="11">
                  <c:v>66.2</c:v>
                </c:pt>
                <c:pt idx="12">
                  <c:v>64.400000000000006</c:v>
                </c:pt>
                <c:pt idx="13">
                  <c:v>60.4</c:v>
                </c:pt>
                <c:pt idx="15">
                  <c:v>72.099999999999994</c:v>
                </c:pt>
                <c:pt idx="16">
                  <c:v>73.7</c:v>
                </c:pt>
                <c:pt idx="17">
                  <c:v>70</c:v>
                </c:pt>
                <c:pt idx="18">
                  <c:v>70.900000000000006</c:v>
                </c:pt>
                <c:pt idx="20">
                  <c:v>68.8</c:v>
                </c:pt>
                <c:pt idx="21">
                  <c:v>71.3</c:v>
                </c:pt>
                <c:pt idx="22">
                  <c:v>72.7</c:v>
                </c:pt>
                <c:pt idx="23">
                  <c:v>75.8</c:v>
                </c:pt>
                <c:pt idx="25">
                  <c:v>69</c:v>
                </c:pt>
                <c:pt idx="26">
                  <c:v>65.400000000000006</c:v>
                </c:pt>
                <c:pt idx="27">
                  <c:v>65.5</c:v>
                </c:pt>
                <c:pt idx="28">
                  <c:v>62.2</c:v>
                </c:pt>
                <c:pt idx="30">
                  <c:v>70.5</c:v>
                </c:pt>
                <c:pt idx="31">
                  <c:v>70.2</c:v>
                </c:pt>
                <c:pt idx="32">
                  <c:v>64.900000000000006</c:v>
                </c:pt>
                <c:pt idx="33">
                  <c:v>58.8</c:v>
                </c:pt>
                <c:pt idx="35">
                  <c:v>55</c:v>
                </c:pt>
                <c:pt idx="36">
                  <c:v>50.6</c:v>
                </c:pt>
                <c:pt idx="37">
                  <c:v>52.1</c:v>
                </c:pt>
                <c:pt idx="38">
                  <c:v>54.5</c:v>
                </c:pt>
              </c:numCache>
            </c:numRef>
          </c:val>
        </c:ser>
        <c:ser>
          <c:idx val="1"/>
          <c:order val="1"/>
          <c:tx>
            <c:v>Noncontact</c:v>
          </c:tx>
          <c:spPr>
            <a:solidFill>
              <a:schemeClr val="tx2"/>
            </a:solidFill>
            <a:ln>
              <a:solidFill>
                <a:schemeClr val="tx1"/>
              </a:solidFill>
            </a:ln>
          </c:spPr>
          <c:cat>
            <c:multiLvlStrRef>
              <c:f>Blad5!$A$43:$B$81</c:f>
              <c:multiLvlStrCache>
                <c:ptCount val="39"/>
                <c:lvl>
                  <c:pt idx="0">
                    <c:v>R1</c:v>
                  </c:pt>
                  <c:pt idx="1">
                    <c:v>R2</c:v>
                  </c:pt>
                  <c:pt idx="2">
                    <c:v>R3</c:v>
                  </c:pt>
                  <c:pt idx="3">
                    <c:v>R4</c:v>
                  </c:pt>
                  <c:pt idx="5">
                    <c:v>R1</c:v>
                  </c:pt>
                  <c:pt idx="6">
                    <c:v>R2</c:v>
                  </c:pt>
                  <c:pt idx="7">
                    <c:v>R3</c:v>
                  </c:pt>
                  <c:pt idx="8">
                    <c:v>R4</c:v>
                  </c:pt>
                  <c:pt idx="10">
                    <c:v>R1</c:v>
                  </c:pt>
                  <c:pt idx="11">
                    <c:v>R2</c:v>
                  </c:pt>
                  <c:pt idx="12">
                    <c:v>R3</c:v>
                  </c:pt>
                  <c:pt idx="13">
                    <c:v>R4</c:v>
                  </c:pt>
                  <c:pt idx="15">
                    <c:v>R1</c:v>
                  </c:pt>
                  <c:pt idx="16">
                    <c:v>R2</c:v>
                  </c:pt>
                  <c:pt idx="17">
                    <c:v>R3</c:v>
                  </c:pt>
                  <c:pt idx="18">
                    <c:v>R4</c:v>
                  </c:pt>
                  <c:pt idx="20">
                    <c:v>R1</c:v>
                  </c:pt>
                  <c:pt idx="21">
                    <c:v>R2</c:v>
                  </c:pt>
                  <c:pt idx="22">
                    <c:v>R3</c:v>
                  </c:pt>
                  <c:pt idx="23">
                    <c:v>R4</c:v>
                  </c:pt>
                  <c:pt idx="25">
                    <c:v>R1</c:v>
                  </c:pt>
                  <c:pt idx="26">
                    <c:v>R2</c:v>
                  </c:pt>
                  <c:pt idx="27">
                    <c:v>R3</c:v>
                  </c:pt>
                  <c:pt idx="28">
                    <c:v>R4</c:v>
                  </c:pt>
                  <c:pt idx="30">
                    <c:v>R1</c:v>
                  </c:pt>
                  <c:pt idx="31">
                    <c:v>R2</c:v>
                  </c:pt>
                  <c:pt idx="32">
                    <c:v>R3</c:v>
                  </c:pt>
                  <c:pt idx="33">
                    <c:v>R4</c:v>
                  </c:pt>
                  <c:pt idx="35">
                    <c:v>R1</c:v>
                  </c:pt>
                  <c:pt idx="36">
                    <c:v>R2</c:v>
                  </c:pt>
                  <c:pt idx="37">
                    <c:v>R3</c:v>
                  </c:pt>
                  <c:pt idx="38">
                    <c:v>R4</c:v>
                  </c:pt>
                </c:lvl>
                <c:lvl>
                  <c:pt idx="0">
                    <c:v>IE</c:v>
                  </c:pt>
                  <c:pt idx="5">
                    <c:v>NL</c:v>
                  </c:pt>
                  <c:pt idx="10">
                    <c:v>NO</c:v>
                  </c:pt>
                  <c:pt idx="15">
                    <c:v>PL</c:v>
                  </c:pt>
                  <c:pt idx="20">
                    <c:v>PT</c:v>
                  </c:pt>
                  <c:pt idx="25">
                    <c:v>SE</c:v>
                  </c:pt>
                  <c:pt idx="30">
                    <c:v>SI</c:v>
                  </c:pt>
                  <c:pt idx="35">
                    <c:v>UK</c:v>
                  </c:pt>
                </c:lvl>
              </c:multiLvlStrCache>
            </c:multiLvlStrRef>
          </c:cat>
          <c:val>
            <c:numRef>
              <c:f>Blad5!$D$43:$D$81</c:f>
              <c:numCache>
                <c:formatCode>General</c:formatCode>
                <c:ptCount val="39"/>
                <c:pt idx="0">
                  <c:v>8.1</c:v>
                </c:pt>
                <c:pt idx="1">
                  <c:v>10.6</c:v>
                </c:pt>
                <c:pt idx="2">
                  <c:v>9.1</c:v>
                </c:pt>
                <c:pt idx="3">
                  <c:v>9.1</c:v>
                </c:pt>
                <c:pt idx="5">
                  <c:v>2.5</c:v>
                </c:pt>
                <c:pt idx="6">
                  <c:v>2.7</c:v>
                </c:pt>
                <c:pt idx="7">
                  <c:v>2.6</c:v>
                </c:pt>
                <c:pt idx="8">
                  <c:v>3</c:v>
                </c:pt>
                <c:pt idx="10">
                  <c:v>3</c:v>
                </c:pt>
                <c:pt idx="11">
                  <c:v>1.7</c:v>
                </c:pt>
                <c:pt idx="12">
                  <c:v>0.8</c:v>
                </c:pt>
                <c:pt idx="13">
                  <c:v>0.9</c:v>
                </c:pt>
                <c:pt idx="15">
                  <c:v>0.8</c:v>
                </c:pt>
                <c:pt idx="16">
                  <c:v>0.9</c:v>
                </c:pt>
                <c:pt idx="17">
                  <c:v>1.3</c:v>
                </c:pt>
                <c:pt idx="18">
                  <c:v>1.6</c:v>
                </c:pt>
                <c:pt idx="20">
                  <c:v>3.2</c:v>
                </c:pt>
                <c:pt idx="21">
                  <c:v>2.7</c:v>
                </c:pt>
                <c:pt idx="22">
                  <c:v>3.8</c:v>
                </c:pt>
                <c:pt idx="23">
                  <c:v>3</c:v>
                </c:pt>
                <c:pt idx="25">
                  <c:v>4</c:v>
                </c:pt>
                <c:pt idx="26">
                  <c:v>2.4</c:v>
                </c:pt>
                <c:pt idx="27">
                  <c:v>2</c:v>
                </c:pt>
                <c:pt idx="28">
                  <c:v>3.9</c:v>
                </c:pt>
                <c:pt idx="30">
                  <c:v>5.0999999999999996</c:v>
                </c:pt>
                <c:pt idx="31">
                  <c:v>10.200000000000001</c:v>
                </c:pt>
                <c:pt idx="32">
                  <c:v>2.9</c:v>
                </c:pt>
                <c:pt idx="33">
                  <c:v>4.7</c:v>
                </c:pt>
                <c:pt idx="35">
                  <c:v>3.5</c:v>
                </c:pt>
                <c:pt idx="36">
                  <c:v>7.9</c:v>
                </c:pt>
                <c:pt idx="37">
                  <c:v>7.2</c:v>
                </c:pt>
                <c:pt idx="38">
                  <c:v>7.9</c:v>
                </c:pt>
              </c:numCache>
            </c:numRef>
          </c:val>
        </c:ser>
        <c:ser>
          <c:idx val="2"/>
          <c:order val="2"/>
          <c:tx>
            <c:v>Not able/other</c:v>
          </c:tx>
          <c:spPr>
            <a:solidFill>
              <a:srgbClr val="FFFF00"/>
            </a:solidFill>
            <a:ln>
              <a:solidFill>
                <a:prstClr val="black"/>
              </a:solidFill>
            </a:ln>
          </c:spPr>
          <c:cat>
            <c:multiLvlStrRef>
              <c:f>Blad5!$A$43:$B$81</c:f>
              <c:multiLvlStrCache>
                <c:ptCount val="39"/>
                <c:lvl>
                  <c:pt idx="0">
                    <c:v>R1</c:v>
                  </c:pt>
                  <c:pt idx="1">
                    <c:v>R2</c:v>
                  </c:pt>
                  <c:pt idx="2">
                    <c:v>R3</c:v>
                  </c:pt>
                  <c:pt idx="3">
                    <c:v>R4</c:v>
                  </c:pt>
                  <c:pt idx="5">
                    <c:v>R1</c:v>
                  </c:pt>
                  <c:pt idx="6">
                    <c:v>R2</c:v>
                  </c:pt>
                  <c:pt idx="7">
                    <c:v>R3</c:v>
                  </c:pt>
                  <c:pt idx="8">
                    <c:v>R4</c:v>
                  </c:pt>
                  <c:pt idx="10">
                    <c:v>R1</c:v>
                  </c:pt>
                  <c:pt idx="11">
                    <c:v>R2</c:v>
                  </c:pt>
                  <c:pt idx="12">
                    <c:v>R3</c:v>
                  </c:pt>
                  <c:pt idx="13">
                    <c:v>R4</c:v>
                  </c:pt>
                  <c:pt idx="15">
                    <c:v>R1</c:v>
                  </c:pt>
                  <c:pt idx="16">
                    <c:v>R2</c:v>
                  </c:pt>
                  <c:pt idx="17">
                    <c:v>R3</c:v>
                  </c:pt>
                  <c:pt idx="18">
                    <c:v>R4</c:v>
                  </c:pt>
                  <c:pt idx="20">
                    <c:v>R1</c:v>
                  </c:pt>
                  <c:pt idx="21">
                    <c:v>R2</c:v>
                  </c:pt>
                  <c:pt idx="22">
                    <c:v>R3</c:v>
                  </c:pt>
                  <c:pt idx="23">
                    <c:v>R4</c:v>
                  </c:pt>
                  <c:pt idx="25">
                    <c:v>R1</c:v>
                  </c:pt>
                  <c:pt idx="26">
                    <c:v>R2</c:v>
                  </c:pt>
                  <c:pt idx="27">
                    <c:v>R3</c:v>
                  </c:pt>
                  <c:pt idx="28">
                    <c:v>R4</c:v>
                  </c:pt>
                  <c:pt idx="30">
                    <c:v>R1</c:v>
                  </c:pt>
                  <c:pt idx="31">
                    <c:v>R2</c:v>
                  </c:pt>
                  <c:pt idx="32">
                    <c:v>R3</c:v>
                  </c:pt>
                  <c:pt idx="33">
                    <c:v>R4</c:v>
                  </c:pt>
                  <c:pt idx="35">
                    <c:v>R1</c:v>
                  </c:pt>
                  <c:pt idx="36">
                    <c:v>R2</c:v>
                  </c:pt>
                  <c:pt idx="37">
                    <c:v>R3</c:v>
                  </c:pt>
                  <c:pt idx="38">
                    <c:v>R4</c:v>
                  </c:pt>
                </c:lvl>
                <c:lvl>
                  <c:pt idx="0">
                    <c:v>IE</c:v>
                  </c:pt>
                  <c:pt idx="5">
                    <c:v>NL</c:v>
                  </c:pt>
                  <c:pt idx="10">
                    <c:v>NO</c:v>
                  </c:pt>
                  <c:pt idx="15">
                    <c:v>PL</c:v>
                  </c:pt>
                  <c:pt idx="20">
                    <c:v>PT</c:v>
                  </c:pt>
                  <c:pt idx="25">
                    <c:v>SE</c:v>
                  </c:pt>
                  <c:pt idx="30">
                    <c:v>SI</c:v>
                  </c:pt>
                  <c:pt idx="35">
                    <c:v>UK</c:v>
                  </c:pt>
                </c:lvl>
              </c:multiLvlStrCache>
            </c:multiLvlStrRef>
          </c:cat>
          <c:val>
            <c:numRef>
              <c:f>Blad5!$E$43:$E$81</c:f>
              <c:numCache>
                <c:formatCode>General</c:formatCode>
                <c:ptCount val="39"/>
                <c:pt idx="0">
                  <c:v>4.5999999999999943</c:v>
                </c:pt>
                <c:pt idx="1">
                  <c:v>5.8000000000000105</c:v>
                </c:pt>
                <c:pt idx="2">
                  <c:v>26.700000000000003</c:v>
                </c:pt>
                <c:pt idx="3">
                  <c:v>17.5</c:v>
                </c:pt>
                <c:pt idx="5">
                  <c:v>3.5</c:v>
                </c:pt>
                <c:pt idx="6">
                  <c:v>3.9000000000000057</c:v>
                </c:pt>
                <c:pt idx="7">
                  <c:v>4.3000000000000105</c:v>
                </c:pt>
                <c:pt idx="8">
                  <c:v>6.5999999999999943</c:v>
                </c:pt>
                <c:pt idx="10">
                  <c:v>7.7999999999999972</c:v>
                </c:pt>
                <c:pt idx="11">
                  <c:v>6.1999999999999886</c:v>
                </c:pt>
                <c:pt idx="12">
                  <c:v>8.9000000000000057</c:v>
                </c:pt>
                <c:pt idx="13">
                  <c:v>7.8000000000000105</c:v>
                </c:pt>
                <c:pt idx="15">
                  <c:v>7.5</c:v>
                </c:pt>
                <c:pt idx="16">
                  <c:v>6.2999999999999829</c:v>
                </c:pt>
                <c:pt idx="17">
                  <c:v>12.400000000000006</c:v>
                </c:pt>
                <c:pt idx="18">
                  <c:v>9.5</c:v>
                </c:pt>
                <c:pt idx="20">
                  <c:v>1.0999999999999808</c:v>
                </c:pt>
                <c:pt idx="21">
                  <c:v>7.7999999999999972</c:v>
                </c:pt>
                <c:pt idx="22">
                  <c:v>2.5</c:v>
                </c:pt>
                <c:pt idx="23">
                  <c:v>1.0999999999999808</c:v>
                </c:pt>
                <c:pt idx="25">
                  <c:v>6</c:v>
                </c:pt>
                <c:pt idx="26">
                  <c:v>10.200000000000001</c:v>
                </c:pt>
                <c:pt idx="27">
                  <c:v>9.6000000000000014</c:v>
                </c:pt>
                <c:pt idx="28">
                  <c:v>8.6000000000000014</c:v>
                </c:pt>
                <c:pt idx="30">
                  <c:v>7.1000000000000085</c:v>
                </c:pt>
                <c:pt idx="31">
                  <c:v>4.2999999999999972</c:v>
                </c:pt>
                <c:pt idx="32">
                  <c:v>16.299999999999983</c:v>
                </c:pt>
                <c:pt idx="33">
                  <c:v>14.700000000000003</c:v>
                </c:pt>
                <c:pt idx="35">
                  <c:v>10.900000000000006</c:v>
                </c:pt>
                <c:pt idx="36">
                  <c:v>8.3000000000000025</c:v>
                </c:pt>
                <c:pt idx="37">
                  <c:v>14</c:v>
                </c:pt>
                <c:pt idx="38">
                  <c:v>13.200000000000003</c:v>
                </c:pt>
              </c:numCache>
            </c:numRef>
          </c:val>
        </c:ser>
        <c:ser>
          <c:idx val="3"/>
          <c:order val="3"/>
          <c:tx>
            <c:v>Refusal</c:v>
          </c:tx>
          <c:spPr>
            <a:solidFill>
              <a:srgbClr val="FF0000"/>
            </a:solidFill>
            <a:ln>
              <a:solidFill>
                <a:prstClr val="black"/>
              </a:solidFill>
            </a:ln>
          </c:spPr>
          <c:cat>
            <c:multiLvlStrRef>
              <c:f>Blad5!$A$43:$B$81</c:f>
              <c:multiLvlStrCache>
                <c:ptCount val="39"/>
                <c:lvl>
                  <c:pt idx="0">
                    <c:v>R1</c:v>
                  </c:pt>
                  <c:pt idx="1">
                    <c:v>R2</c:v>
                  </c:pt>
                  <c:pt idx="2">
                    <c:v>R3</c:v>
                  </c:pt>
                  <c:pt idx="3">
                    <c:v>R4</c:v>
                  </c:pt>
                  <c:pt idx="5">
                    <c:v>R1</c:v>
                  </c:pt>
                  <c:pt idx="6">
                    <c:v>R2</c:v>
                  </c:pt>
                  <c:pt idx="7">
                    <c:v>R3</c:v>
                  </c:pt>
                  <c:pt idx="8">
                    <c:v>R4</c:v>
                  </c:pt>
                  <c:pt idx="10">
                    <c:v>R1</c:v>
                  </c:pt>
                  <c:pt idx="11">
                    <c:v>R2</c:v>
                  </c:pt>
                  <c:pt idx="12">
                    <c:v>R3</c:v>
                  </c:pt>
                  <c:pt idx="13">
                    <c:v>R4</c:v>
                  </c:pt>
                  <c:pt idx="15">
                    <c:v>R1</c:v>
                  </c:pt>
                  <c:pt idx="16">
                    <c:v>R2</c:v>
                  </c:pt>
                  <c:pt idx="17">
                    <c:v>R3</c:v>
                  </c:pt>
                  <c:pt idx="18">
                    <c:v>R4</c:v>
                  </c:pt>
                  <c:pt idx="20">
                    <c:v>R1</c:v>
                  </c:pt>
                  <c:pt idx="21">
                    <c:v>R2</c:v>
                  </c:pt>
                  <c:pt idx="22">
                    <c:v>R3</c:v>
                  </c:pt>
                  <c:pt idx="23">
                    <c:v>R4</c:v>
                  </c:pt>
                  <c:pt idx="25">
                    <c:v>R1</c:v>
                  </c:pt>
                  <c:pt idx="26">
                    <c:v>R2</c:v>
                  </c:pt>
                  <c:pt idx="27">
                    <c:v>R3</c:v>
                  </c:pt>
                  <c:pt idx="28">
                    <c:v>R4</c:v>
                  </c:pt>
                  <c:pt idx="30">
                    <c:v>R1</c:v>
                  </c:pt>
                  <c:pt idx="31">
                    <c:v>R2</c:v>
                  </c:pt>
                  <c:pt idx="32">
                    <c:v>R3</c:v>
                  </c:pt>
                  <c:pt idx="33">
                    <c:v>R4</c:v>
                  </c:pt>
                  <c:pt idx="35">
                    <c:v>R1</c:v>
                  </c:pt>
                  <c:pt idx="36">
                    <c:v>R2</c:v>
                  </c:pt>
                  <c:pt idx="37">
                    <c:v>R3</c:v>
                  </c:pt>
                  <c:pt idx="38">
                    <c:v>R4</c:v>
                  </c:pt>
                </c:lvl>
                <c:lvl>
                  <c:pt idx="0">
                    <c:v>IE</c:v>
                  </c:pt>
                  <c:pt idx="5">
                    <c:v>NL</c:v>
                  </c:pt>
                  <c:pt idx="10">
                    <c:v>NO</c:v>
                  </c:pt>
                  <c:pt idx="15">
                    <c:v>PL</c:v>
                  </c:pt>
                  <c:pt idx="20">
                    <c:v>PT</c:v>
                  </c:pt>
                  <c:pt idx="25">
                    <c:v>SE</c:v>
                  </c:pt>
                  <c:pt idx="30">
                    <c:v>SI</c:v>
                  </c:pt>
                  <c:pt idx="35">
                    <c:v>UK</c:v>
                  </c:pt>
                </c:lvl>
              </c:multiLvlStrCache>
            </c:multiLvlStrRef>
          </c:cat>
          <c:val>
            <c:numRef>
              <c:f>Blad5!$F$43:$F$81</c:f>
              <c:numCache>
                <c:formatCode>General</c:formatCode>
                <c:ptCount val="39"/>
                <c:pt idx="0">
                  <c:v>22.9</c:v>
                </c:pt>
                <c:pt idx="1">
                  <c:v>21.6</c:v>
                </c:pt>
                <c:pt idx="2">
                  <c:v>13.8</c:v>
                </c:pt>
                <c:pt idx="3">
                  <c:v>24.2</c:v>
                </c:pt>
                <c:pt idx="5">
                  <c:v>26.2</c:v>
                </c:pt>
                <c:pt idx="6">
                  <c:v>29.1</c:v>
                </c:pt>
                <c:pt idx="7">
                  <c:v>33.300000000000004</c:v>
                </c:pt>
                <c:pt idx="8">
                  <c:v>40.6</c:v>
                </c:pt>
                <c:pt idx="10">
                  <c:v>24.2</c:v>
                </c:pt>
                <c:pt idx="11">
                  <c:v>25.9</c:v>
                </c:pt>
                <c:pt idx="12">
                  <c:v>25.9</c:v>
                </c:pt>
                <c:pt idx="13">
                  <c:v>30.9</c:v>
                </c:pt>
                <c:pt idx="15">
                  <c:v>19.600000000000001</c:v>
                </c:pt>
                <c:pt idx="16">
                  <c:v>19.100000000000001</c:v>
                </c:pt>
                <c:pt idx="17">
                  <c:v>16.3</c:v>
                </c:pt>
                <c:pt idx="18">
                  <c:v>18</c:v>
                </c:pt>
                <c:pt idx="20">
                  <c:v>26.9</c:v>
                </c:pt>
                <c:pt idx="21">
                  <c:v>18.2</c:v>
                </c:pt>
                <c:pt idx="22">
                  <c:v>21</c:v>
                </c:pt>
                <c:pt idx="23">
                  <c:v>20.100000000000001</c:v>
                </c:pt>
                <c:pt idx="25">
                  <c:v>21</c:v>
                </c:pt>
                <c:pt idx="26">
                  <c:v>22</c:v>
                </c:pt>
                <c:pt idx="27">
                  <c:v>22.9</c:v>
                </c:pt>
                <c:pt idx="28">
                  <c:v>25.3</c:v>
                </c:pt>
                <c:pt idx="30">
                  <c:v>17.3</c:v>
                </c:pt>
                <c:pt idx="31">
                  <c:v>15.3</c:v>
                </c:pt>
                <c:pt idx="32">
                  <c:v>15.9</c:v>
                </c:pt>
                <c:pt idx="33">
                  <c:v>21.8</c:v>
                </c:pt>
                <c:pt idx="35">
                  <c:v>30.6</c:v>
                </c:pt>
                <c:pt idx="36">
                  <c:v>33.200000000000003</c:v>
                </c:pt>
                <c:pt idx="37">
                  <c:v>26.7</c:v>
                </c:pt>
                <c:pt idx="38">
                  <c:v>24.4</c:v>
                </c:pt>
              </c:numCache>
            </c:numRef>
          </c:val>
        </c:ser>
        <c:gapWidth val="50"/>
        <c:overlap val="100"/>
        <c:axId val="84413824"/>
        <c:axId val="84493440"/>
      </c:barChart>
      <c:catAx>
        <c:axId val="84413824"/>
        <c:scaling>
          <c:orientation val="minMax"/>
        </c:scaling>
        <c:axPos val="b"/>
        <c:tickLblPos val="nextTo"/>
        <c:txPr>
          <a:bodyPr/>
          <a:lstStyle/>
          <a:p>
            <a:pPr>
              <a:defRPr sz="800" baseline="0"/>
            </a:pPr>
            <a:endParaRPr lang="nl-NL"/>
          </a:p>
        </c:txPr>
        <c:crossAx val="84493440"/>
        <c:crosses val="autoZero"/>
        <c:auto val="1"/>
        <c:lblAlgn val="ctr"/>
        <c:lblOffset val="100"/>
        <c:tickLblSkip val="1"/>
      </c:catAx>
      <c:valAx>
        <c:axId val="84493440"/>
        <c:scaling>
          <c:orientation val="minMax"/>
        </c:scaling>
        <c:axPos val="l"/>
        <c:majorGridlines/>
        <c:numFmt formatCode="0%" sourceLinked="1"/>
        <c:tickLblPos val="nextTo"/>
        <c:crossAx val="84413824"/>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NL"/>
  <c:chart>
    <c:plotArea>
      <c:layout/>
      <c:barChart>
        <c:barDir val="col"/>
        <c:grouping val="clustered"/>
        <c:ser>
          <c:idx val="3"/>
          <c:order val="0"/>
          <c:tx>
            <c:strRef>
              <c:f>'ESS4 tabel'!$I$1</c:f>
              <c:strCache>
                <c:ptCount val="1"/>
                <c:pt idx="0">
                  <c:v>Language</c:v>
                </c:pt>
              </c:strCache>
            </c:strRef>
          </c:tx>
          <c:spPr>
            <a:solidFill>
              <a:srgbClr val="FF0000"/>
            </a:solidFill>
          </c:spPr>
          <c:cat>
            <c:strRef>
              <c:f>'ESS4 tabel'!$G$2:$G$31</c:f>
              <c:strCache>
                <c:ptCount val="30"/>
                <c:pt idx="0">
                  <c:v>Croatia</c:v>
                </c:pt>
                <c:pt idx="1">
                  <c:v>Germany</c:v>
                </c:pt>
                <c:pt idx="2">
                  <c:v>France</c:v>
                </c:pt>
                <c:pt idx="3">
                  <c:v>Netherlands</c:v>
                </c:pt>
                <c:pt idx="4">
                  <c:v>Switzerland</c:v>
                </c:pt>
                <c:pt idx="5">
                  <c:v>Ireland</c:v>
                </c:pt>
                <c:pt idx="6">
                  <c:v>Lithuania</c:v>
                </c:pt>
                <c:pt idx="7">
                  <c:v>Denmark</c:v>
                </c:pt>
                <c:pt idx="8">
                  <c:v>United Kingdom</c:v>
                </c:pt>
                <c:pt idx="9">
                  <c:v>Estonia</c:v>
                </c:pt>
                <c:pt idx="10">
                  <c:v>Latvia</c:v>
                </c:pt>
                <c:pt idx="11">
                  <c:v>Belgium</c:v>
                </c:pt>
                <c:pt idx="12">
                  <c:v>Slovenia</c:v>
                </c:pt>
                <c:pt idx="13">
                  <c:v>Norway</c:v>
                </c:pt>
                <c:pt idx="14">
                  <c:v>Hungary</c:v>
                </c:pt>
                <c:pt idx="15">
                  <c:v>Ukraine</c:v>
                </c:pt>
                <c:pt idx="16">
                  <c:v>Sweden</c:v>
                </c:pt>
                <c:pt idx="17">
                  <c:v>Turkey</c:v>
                </c:pt>
                <c:pt idx="18">
                  <c:v>Spain</c:v>
                </c:pt>
                <c:pt idx="19">
                  <c:v>Russian Federation</c:v>
                </c:pt>
                <c:pt idx="20">
                  <c:v>Romania</c:v>
                </c:pt>
                <c:pt idx="21">
                  <c:v>Finland</c:v>
                </c:pt>
                <c:pt idx="22">
                  <c:v>Czech Republic</c:v>
                </c:pt>
                <c:pt idx="23">
                  <c:v>Poland</c:v>
                </c:pt>
                <c:pt idx="24">
                  <c:v>Slovakia</c:v>
                </c:pt>
                <c:pt idx="25">
                  <c:v>Greece</c:v>
                </c:pt>
                <c:pt idx="26">
                  <c:v>Bulgaria</c:v>
                </c:pt>
                <c:pt idx="27">
                  <c:v>Portugal</c:v>
                </c:pt>
                <c:pt idx="28">
                  <c:v>Israel</c:v>
                </c:pt>
                <c:pt idx="29">
                  <c:v>Cyprus</c:v>
                </c:pt>
              </c:strCache>
            </c:strRef>
          </c:cat>
          <c:val>
            <c:numRef>
              <c:f>'ESS4 tabel'!$I$2:$I$31</c:f>
              <c:numCache>
                <c:formatCode>0.00</c:formatCode>
                <c:ptCount val="30"/>
                <c:pt idx="0">
                  <c:v>0</c:v>
                </c:pt>
                <c:pt idx="1">
                  <c:v>2.1284019539427792</c:v>
                </c:pt>
                <c:pt idx="2">
                  <c:v>1.0004764173415912</c:v>
                </c:pt>
                <c:pt idx="3">
                  <c:v>2.1300448430493275</c:v>
                </c:pt>
                <c:pt idx="4">
                  <c:v>2.0564847820126162</c:v>
                </c:pt>
                <c:pt idx="5">
                  <c:v>1.7825832846288721</c:v>
                </c:pt>
                <c:pt idx="6">
                  <c:v>0.65445026178010468</c:v>
                </c:pt>
                <c:pt idx="7">
                  <c:v>1.5729585006693441</c:v>
                </c:pt>
                <c:pt idx="8">
                  <c:v>1.0908228598529759</c:v>
                </c:pt>
                <c:pt idx="9">
                  <c:v>0</c:v>
                </c:pt>
                <c:pt idx="10">
                  <c:v>0</c:v>
                </c:pt>
                <c:pt idx="11">
                  <c:v>2.7424749163879611</c:v>
                </c:pt>
                <c:pt idx="12">
                  <c:v>1.6544117647058842</c:v>
                </c:pt>
                <c:pt idx="13">
                  <c:v>1.8728053062817032</c:v>
                </c:pt>
                <c:pt idx="14">
                  <c:v>0.3969829297340226</c:v>
                </c:pt>
                <c:pt idx="15">
                  <c:v>3.333333333333334E-2</c:v>
                </c:pt>
                <c:pt idx="16">
                  <c:v>1.3247282608695652</c:v>
                </c:pt>
                <c:pt idx="17">
                  <c:v>0</c:v>
                </c:pt>
                <c:pt idx="18">
                  <c:v>0.31112263417163638</c:v>
                </c:pt>
                <c:pt idx="19">
                  <c:v>2.7041644131963267E-2</c:v>
                </c:pt>
                <c:pt idx="20">
                  <c:v>3.1725888324873143E-2</c:v>
                </c:pt>
                <c:pt idx="21">
                  <c:v>0.90427190520735856</c:v>
                </c:pt>
                <c:pt idx="22">
                  <c:v>3.4435261707988982E-2</c:v>
                </c:pt>
                <c:pt idx="23">
                  <c:v>0</c:v>
                </c:pt>
                <c:pt idx="24">
                  <c:v>0</c:v>
                </c:pt>
                <c:pt idx="25">
                  <c:v>0.46594982078853026</c:v>
                </c:pt>
                <c:pt idx="26">
                  <c:v>0.16812373907195688</c:v>
                </c:pt>
                <c:pt idx="27">
                  <c:v>0.192</c:v>
                </c:pt>
                <c:pt idx="28">
                  <c:v>0.31201248049922053</c:v>
                </c:pt>
                <c:pt idx="29">
                  <c:v>4.9902786779001964</c:v>
                </c:pt>
              </c:numCache>
            </c:numRef>
          </c:val>
        </c:ser>
        <c:ser>
          <c:idx val="0"/>
          <c:order val="1"/>
          <c:tx>
            <c:strRef>
              <c:f>'ESS4 tabel'!$J$1</c:f>
              <c:strCache>
                <c:ptCount val="1"/>
                <c:pt idx="0">
                  <c:v>Unable</c:v>
                </c:pt>
              </c:strCache>
            </c:strRef>
          </c:tx>
          <c:spPr>
            <a:solidFill>
              <a:srgbClr val="00B050"/>
            </a:solidFill>
          </c:spPr>
          <c:cat>
            <c:strRef>
              <c:f>'ESS4 tabel'!$G$2:$G$31</c:f>
              <c:strCache>
                <c:ptCount val="30"/>
                <c:pt idx="0">
                  <c:v>Croatia</c:v>
                </c:pt>
                <c:pt idx="1">
                  <c:v>Germany</c:v>
                </c:pt>
                <c:pt idx="2">
                  <c:v>France</c:v>
                </c:pt>
                <c:pt idx="3">
                  <c:v>Netherlands</c:v>
                </c:pt>
                <c:pt idx="4">
                  <c:v>Switzerland</c:v>
                </c:pt>
                <c:pt idx="5">
                  <c:v>Ireland</c:v>
                </c:pt>
                <c:pt idx="6">
                  <c:v>Lithuania</c:v>
                </c:pt>
                <c:pt idx="7">
                  <c:v>Denmark</c:v>
                </c:pt>
                <c:pt idx="8">
                  <c:v>United Kingdom</c:v>
                </c:pt>
                <c:pt idx="9">
                  <c:v>Estonia</c:v>
                </c:pt>
                <c:pt idx="10">
                  <c:v>Latvia</c:v>
                </c:pt>
                <c:pt idx="11">
                  <c:v>Belgium</c:v>
                </c:pt>
                <c:pt idx="12">
                  <c:v>Slovenia</c:v>
                </c:pt>
                <c:pt idx="13">
                  <c:v>Norway</c:v>
                </c:pt>
                <c:pt idx="14">
                  <c:v>Hungary</c:v>
                </c:pt>
                <c:pt idx="15">
                  <c:v>Ukraine</c:v>
                </c:pt>
                <c:pt idx="16">
                  <c:v>Sweden</c:v>
                </c:pt>
                <c:pt idx="17">
                  <c:v>Turkey</c:v>
                </c:pt>
                <c:pt idx="18">
                  <c:v>Spain</c:v>
                </c:pt>
                <c:pt idx="19">
                  <c:v>Russian Federation</c:v>
                </c:pt>
                <c:pt idx="20">
                  <c:v>Romania</c:v>
                </c:pt>
                <c:pt idx="21">
                  <c:v>Finland</c:v>
                </c:pt>
                <c:pt idx="22">
                  <c:v>Czech Republic</c:v>
                </c:pt>
                <c:pt idx="23">
                  <c:v>Poland</c:v>
                </c:pt>
                <c:pt idx="24">
                  <c:v>Slovakia</c:v>
                </c:pt>
                <c:pt idx="25">
                  <c:v>Greece</c:v>
                </c:pt>
                <c:pt idx="26">
                  <c:v>Bulgaria</c:v>
                </c:pt>
                <c:pt idx="27">
                  <c:v>Portugal</c:v>
                </c:pt>
                <c:pt idx="28">
                  <c:v>Israel</c:v>
                </c:pt>
                <c:pt idx="29">
                  <c:v>Cyprus</c:v>
                </c:pt>
              </c:strCache>
            </c:strRef>
          </c:cat>
          <c:val>
            <c:numRef>
              <c:f>'ESS4 tabel'!$J$2:$J$31</c:f>
              <c:numCache>
                <c:formatCode>0.00</c:formatCode>
                <c:ptCount val="30"/>
                <c:pt idx="0">
                  <c:v>0</c:v>
                </c:pt>
                <c:pt idx="1">
                  <c:v>3.4019539427773942</c:v>
                </c:pt>
                <c:pt idx="2">
                  <c:v>1.5007146260123858</c:v>
                </c:pt>
                <c:pt idx="3">
                  <c:v>1.7376681614349776</c:v>
                </c:pt>
                <c:pt idx="4">
                  <c:v>0.30161776802851681</c:v>
                </c:pt>
                <c:pt idx="5">
                  <c:v>1.5780245470485097</c:v>
                </c:pt>
                <c:pt idx="6">
                  <c:v>0.44502617801047167</c:v>
                </c:pt>
                <c:pt idx="7">
                  <c:v>3.0120481927710792</c:v>
                </c:pt>
                <c:pt idx="8">
                  <c:v>1.73108845150581</c:v>
                </c:pt>
                <c:pt idx="9">
                  <c:v>3.3160621761657962</c:v>
                </c:pt>
                <c:pt idx="10">
                  <c:v>0.20461853259280946</c:v>
                </c:pt>
                <c:pt idx="11">
                  <c:v>4.3478260869565215</c:v>
                </c:pt>
                <c:pt idx="12">
                  <c:v>1.2408088235294117</c:v>
                </c:pt>
                <c:pt idx="13">
                  <c:v>2.497073741708939</c:v>
                </c:pt>
                <c:pt idx="14">
                  <c:v>1.8261214767764986</c:v>
                </c:pt>
                <c:pt idx="15">
                  <c:v>0.96666666666666667</c:v>
                </c:pt>
                <c:pt idx="16">
                  <c:v>4.2459239130434794</c:v>
                </c:pt>
                <c:pt idx="17">
                  <c:v>0.18903591682419688</c:v>
                </c:pt>
                <c:pt idx="18">
                  <c:v>1.9445164635727279</c:v>
                </c:pt>
                <c:pt idx="19">
                  <c:v>0.59491617090319049</c:v>
                </c:pt>
                <c:pt idx="20">
                  <c:v>6.3451776649746286E-2</c:v>
                </c:pt>
                <c:pt idx="21">
                  <c:v>2.8687246647957592</c:v>
                </c:pt>
                <c:pt idx="22">
                  <c:v>0.48209366391184644</c:v>
                </c:pt>
                <c:pt idx="23">
                  <c:v>2.7264731750219875</c:v>
                </c:pt>
                <c:pt idx="24">
                  <c:v>0.24048096192384769</c:v>
                </c:pt>
                <c:pt idx="25">
                  <c:v>0.21505376344086041</c:v>
                </c:pt>
                <c:pt idx="26">
                  <c:v>0.77336919973100149</c:v>
                </c:pt>
                <c:pt idx="27">
                  <c:v>6.4000000000000098E-2</c:v>
                </c:pt>
                <c:pt idx="28">
                  <c:v>0.15600624024960999</c:v>
                </c:pt>
                <c:pt idx="29">
                  <c:v>0.25923525599481528</c:v>
                </c:pt>
              </c:numCache>
            </c:numRef>
          </c:val>
        </c:ser>
        <c:ser>
          <c:idx val="1"/>
          <c:order val="2"/>
          <c:tx>
            <c:strRef>
              <c:f>'ESS4 tabel'!$K$1</c:f>
              <c:strCache>
                <c:ptCount val="1"/>
                <c:pt idx="0">
                  <c:v>Unavailable/other</c:v>
                </c:pt>
              </c:strCache>
            </c:strRef>
          </c:tx>
          <c:spPr>
            <a:solidFill>
              <a:schemeClr val="tx2"/>
            </a:solidFill>
          </c:spPr>
          <c:cat>
            <c:strRef>
              <c:f>'ESS4 tabel'!$G$2:$G$31</c:f>
              <c:strCache>
                <c:ptCount val="30"/>
                <c:pt idx="0">
                  <c:v>Croatia</c:v>
                </c:pt>
                <c:pt idx="1">
                  <c:v>Germany</c:v>
                </c:pt>
                <c:pt idx="2">
                  <c:v>France</c:v>
                </c:pt>
                <c:pt idx="3">
                  <c:v>Netherlands</c:v>
                </c:pt>
                <c:pt idx="4">
                  <c:v>Switzerland</c:v>
                </c:pt>
                <c:pt idx="5">
                  <c:v>Ireland</c:v>
                </c:pt>
                <c:pt idx="6">
                  <c:v>Lithuania</c:v>
                </c:pt>
                <c:pt idx="7">
                  <c:v>Denmark</c:v>
                </c:pt>
                <c:pt idx="8">
                  <c:v>United Kingdom</c:v>
                </c:pt>
                <c:pt idx="9">
                  <c:v>Estonia</c:v>
                </c:pt>
                <c:pt idx="10">
                  <c:v>Latvia</c:v>
                </c:pt>
                <c:pt idx="11">
                  <c:v>Belgium</c:v>
                </c:pt>
                <c:pt idx="12">
                  <c:v>Slovenia</c:v>
                </c:pt>
                <c:pt idx="13">
                  <c:v>Norway</c:v>
                </c:pt>
                <c:pt idx="14">
                  <c:v>Hungary</c:v>
                </c:pt>
                <c:pt idx="15">
                  <c:v>Ukraine</c:v>
                </c:pt>
                <c:pt idx="16">
                  <c:v>Sweden</c:v>
                </c:pt>
                <c:pt idx="17">
                  <c:v>Turkey</c:v>
                </c:pt>
                <c:pt idx="18">
                  <c:v>Spain</c:v>
                </c:pt>
                <c:pt idx="19">
                  <c:v>Russian Federation</c:v>
                </c:pt>
                <c:pt idx="20">
                  <c:v>Romania</c:v>
                </c:pt>
                <c:pt idx="21">
                  <c:v>Finland</c:v>
                </c:pt>
                <c:pt idx="22">
                  <c:v>Czech Republic</c:v>
                </c:pt>
                <c:pt idx="23">
                  <c:v>Poland</c:v>
                </c:pt>
                <c:pt idx="24">
                  <c:v>Slovakia</c:v>
                </c:pt>
                <c:pt idx="25">
                  <c:v>Greece</c:v>
                </c:pt>
                <c:pt idx="26">
                  <c:v>Bulgaria</c:v>
                </c:pt>
                <c:pt idx="27">
                  <c:v>Portugal</c:v>
                </c:pt>
                <c:pt idx="28">
                  <c:v>Israel</c:v>
                </c:pt>
                <c:pt idx="29">
                  <c:v>Cyprus</c:v>
                </c:pt>
              </c:strCache>
            </c:strRef>
          </c:cat>
          <c:val>
            <c:numRef>
              <c:f>'ESS4 tabel'!$K$2:$K$31</c:f>
              <c:numCache>
                <c:formatCode>0.00</c:formatCode>
                <c:ptCount val="30"/>
                <c:pt idx="0">
                  <c:v>0.49276255004619629</c:v>
                </c:pt>
                <c:pt idx="1">
                  <c:v>3.4717376133984637</c:v>
                </c:pt>
                <c:pt idx="2">
                  <c:v>2.810862315388273</c:v>
                </c:pt>
                <c:pt idx="3">
                  <c:v>0.476457399103139</c:v>
                </c:pt>
                <c:pt idx="4">
                  <c:v>9.5146695914450241</c:v>
                </c:pt>
                <c:pt idx="5">
                  <c:v>0.81823495032144944</c:v>
                </c:pt>
                <c:pt idx="6">
                  <c:v>1.3350785340314151</c:v>
                </c:pt>
                <c:pt idx="7">
                  <c:v>0.87014725568942575</c:v>
                </c:pt>
                <c:pt idx="8">
                  <c:v>5.7149632440123312</c:v>
                </c:pt>
                <c:pt idx="9">
                  <c:v>1.9689119170984455</c:v>
                </c:pt>
                <c:pt idx="10">
                  <c:v>0.78924291142940661</c:v>
                </c:pt>
                <c:pt idx="11">
                  <c:v>0.23411371237458187</c:v>
                </c:pt>
                <c:pt idx="12">
                  <c:v>9.6966911764705763</c:v>
                </c:pt>
                <c:pt idx="13">
                  <c:v>1.9508388607101061</c:v>
                </c:pt>
                <c:pt idx="14">
                  <c:v>2.1437078205637188</c:v>
                </c:pt>
                <c:pt idx="15">
                  <c:v>0.73333333333333361</c:v>
                </c:pt>
                <c:pt idx="16">
                  <c:v>1.8342391304347827</c:v>
                </c:pt>
                <c:pt idx="17">
                  <c:v>0.62111801242236064</c:v>
                </c:pt>
                <c:pt idx="18">
                  <c:v>1.7630282603059357</c:v>
                </c:pt>
                <c:pt idx="19">
                  <c:v>0.27041644131963294</c:v>
                </c:pt>
                <c:pt idx="20">
                  <c:v>14.118020304568518</c:v>
                </c:pt>
                <c:pt idx="21">
                  <c:v>4.8331774243841714</c:v>
                </c:pt>
                <c:pt idx="22">
                  <c:v>0.51652892561983466</c:v>
                </c:pt>
                <c:pt idx="23">
                  <c:v>2.0228671943711523</c:v>
                </c:pt>
                <c:pt idx="24">
                  <c:v>2.0841683366733466</c:v>
                </c:pt>
                <c:pt idx="25">
                  <c:v>1.1827956989247312</c:v>
                </c:pt>
                <c:pt idx="26">
                  <c:v>0.30262273032952314</c:v>
                </c:pt>
                <c:pt idx="27">
                  <c:v>1.0880000000000001</c:v>
                </c:pt>
                <c:pt idx="28">
                  <c:v>4.6489859594383676</c:v>
                </c:pt>
                <c:pt idx="29">
                  <c:v>0.97213220998055738</c:v>
                </c:pt>
              </c:numCache>
            </c:numRef>
          </c:val>
        </c:ser>
        <c:axId val="139518336"/>
        <c:axId val="139657984"/>
      </c:barChart>
      <c:catAx>
        <c:axId val="139518336"/>
        <c:scaling>
          <c:orientation val="minMax"/>
        </c:scaling>
        <c:axPos val="b"/>
        <c:tickLblPos val="nextTo"/>
        <c:txPr>
          <a:bodyPr/>
          <a:lstStyle/>
          <a:p>
            <a:pPr>
              <a:defRPr sz="800" baseline="0"/>
            </a:pPr>
            <a:endParaRPr lang="nl-NL"/>
          </a:p>
        </c:txPr>
        <c:crossAx val="139657984"/>
        <c:crosses val="autoZero"/>
        <c:auto val="1"/>
        <c:lblAlgn val="ctr"/>
        <c:lblOffset val="100"/>
      </c:catAx>
      <c:valAx>
        <c:axId val="139657984"/>
        <c:scaling>
          <c:orientation val="minMax"/>
          <c:max val="15"/>
        </c:scaling>
        <c:axPos val="l"/>
        <c:majorGridlines/>
        <c:title>
          <c:tx>
            <c:rich>
              <a:bodyPr rot="0" vert="horz"/>
              <a:lstStyle/>
              <a:p>
                <a:pPr>
                  <a:defRPr sz="800" baseline="0"/>
                </a:pPr>
                <a:r>
                  <a:rPr lang="nl-NL" sz="800" b="0" baseline="0"/>
                  <a:t>R4 NSD %</a:t>
                </a:r>
              </a:p>
            </c:rich>
          </c:tx>
          <c:layout>
            <c:manualLayout>
              <c:xMode val="edge"/>
              <c:yMode val="edge"/>
              <c:x val="5.3242320819112704E-2"/>
              <c:y val="4.2182191977960984E-2"/>
            </c:manualLayout>
          </c:layout>
        </c:title>
        <c:numFmt formatCode="0.00" sourceLinked="1"/>
        <c:tickLblPos val="nextTo"/>
        <c:txPr>
          <a:bodyPr/>
          <a:lstStyle/>
          <a:p>
            <a:pPr>
              <a:defRPr sz="800" baseline="0"/>
            </a:pPr>
            <a:endParaRPr lang="nl-NL"/>
          </a:p>
        </c:txPr>
        <c:crossAx val="139518336"/>
        <c:crosses val="autoZero"/>
        <c:crossBetween val="between"/>
        <c:majorUnit val="3"/>
      </c:valAx>
    </c:plotArea>
    <c:legend>
      <c:legendPos val="b"/>
      <c:txPr>
        <a:bodyPr/>
        <a:lstStyle/>
        <a:p>
          <a:pPr>
            <a:defRPr sz="800" baseline="0"/>
          </a:pPr>
          <a:endParaRPr lang="nl-NL"/>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nl-NL"/>
  <c:chart>
    <c:plotArea>
      <c:layout/>
      <c:barChart>
        <c:barDir val="col"/>
        <c:grouping val="stacked"/>
        <c:ser>
          <c:idx val="3"/>
          <c:order val="0"/>
          <c:tx>
            <c:strRef>
              <c:f>'ESS4 tabel'!$I$1</c:f>
              <c:strCache>
                <c:ptCount val="1"/>
                <c:pt idx="0">
                  <c:v>Language</c:v>
                </c:pt>
              </c:strCache>
            </c:strRef>
          </c:tx>
          <c:spPr>
            <a:solidFill>
              <a:srgbClr val="FF0000"/>
            </a:solidFill>
          </c:spPr>
          <c:cat>
            <c:strRef>
              <c:f>'ESS4 tabel'!$G$2:$G$31</c:f>
              <c:strCache>
                <c:ptCount val="30"/>
                <c:pt idx="0">
                  <c:v>Croatia</c:v>
                </c:pt>
                <c:pt idx="1">
                  <c:v>Germany</c:v>
                </c:pt>
                <c:pt idx="2">
                  <c:v>France</c:v>
                </c:pt>
                <c:pt idx="3">
                  <c:v>Netherlands</c:v>
                </c:pt>
                <c:pt idx="4">
                  <c:v>Switzerland</c:v>
                </c:pt>
                <c:pt idx="5">
                  <c:v>Ireland</c:v>
                </c:pt>
                <c:pt idx="6">
                  <c:v>Lithuania</c:v>
                </c:pt>
                <c:pt idx="7">
                  <c:v>Denmark</c:v>
                </c:pt>
                <c:pt idx="8">
                  <c:v>United Kingdom</c:v>
                </c:pt>
                <c:pt idx="9">
                  <c:v>Estonia</c:v>
                </c:pt>
                <c:pt idx="10">
                  <c:v>Latvia</c:v>
                </c:pt>
                <c:pt idx="11">
                  <c:v>Belgium</c:v>
                </c:pt>
                <c:pt idx="12">
                  <c:v>Slovenia</c:v>
                </c:pt>
                <c:pt idx="13">
                  <c:v>Norway</c:v>
                </c:pt>
                <c:pt idx="14">
                  <c:v>Hungary</c:v>
                </c:pt>
                <c:pt idx="15">
                  <c:v>Ukraine</c:v>
                </c:pt>
                <c:pt idx="16">
                  <c:v>Sweden</c:v>
                </c:pt>
                <c:pt idx="17">
                  <c:v>Turkey</c:v>
                </c:pt>
                <c:pt idx="18">
                  <c:v>Spain</c:v>
                </c:pt>
                <c:pt idx="19">
                  <c:v>Russian Federation</c:v>
                </c:pt>
                <c:pt idx="20">
                  <c:v>Romania</c:v>
                </c:pt>
                <c:pt idx="21">
                  <c:v>Finland</c:v>
                </c:pt>
                <c:pt idx="22">
                  <c:v>Czech Republic</c:v>
                </c:pt>
                <c:pt idx="23">
                  <c:v>Poland</c:v>
                </c:pt>
                <c:pt idx="24">
                  <c:v>Slovakia</c:v>
                </c:pt>
                <c:pt idx="25">
                  <c:v>Greece</c:v>
                </c:pt>
                <c:pt idx="26">
                  <c:v>Bulgaria</c:v>
                </c:pt>
                <c:pt idx="27">
                  <c:v>Portugal</c:v>
                </c:pt>
                <c:pt idx="28">
                  <c:v>Israel</c:v>
                </c:pt>
                <c:pt idx="29">
                  <c:v>Cyprus</c:v>
                </c:pt>
              </c:strCache>
            </c:strRef>
          </c:cat>
          <c:val>
            <c:numRef>
              <c:f>'ESS4 tabel'!$I$2:$I$31</c:f>
              <c:numCache>
                <c:formatCode>0.00</c:formatCode>
                <c:ptCount val="30"/>
                <c:pt idx="0">
                  <c:v>0</c:v>
                </c:pt>
                <c:pt idx="1">
                  <c:v>2.1284019539427792</c:v>
                </c:pt>
                <c:pt idx="2">
                  <c:v>1.0004764173415912</c:v>
                </c:pt>
                <c:pt idx="3">
                  <c:v>2.1300448430493275</c:v>
                </c:pt>
                <c:pt idx="4">
                  <c:v>2.0564847820126171</c:v>
                </c:pt>
                <c:pt idx="5">
                  <c:v>1.7825832846288721</c:v>
                </c:pt>
                <c:pt idx="6">
                  <c:v>0.65445026178010468</c:v>
                </c:pt>
                <c:pt idx="7">
                  <c:v>1.5729585006693441</c:v>
                </c:pt>
                <c:pt idx="8">
                  <c:v>1.0908228598529759</c:v>
                </c:pt>
                <c:pt idx="9">
                  <c:v>0</c:v>
                </c:pt>
                <c:pt idx="10">
                  <c:v>0</c:v>
                </c:pt>
                <c:pt idx="11">
                  <c:v>2.7424749163879611</c:v>
                </c:pt>
                <c:pt idx="12">
                  <c:v>1.6544117647058847</c:v>
                </c:pt>
                <c:pt idx="13">
                  <c:v>1.8728053062817041</c:v>
                </c:pt>
                <c:pt idx="14">
                  <c:v>0.39698292973402294</c:v>
                </c:pt>
                <c:pt idx="15">
                  <c:v>3.333333333333334E-2</c:v>
                </c:pt>
                <c:pt idx="16">
                  <c:v>1.3247282608695652</c:v>
                </c:pt>
                <c:pt idx="17">
                  <c:v>0</c:v>
                </c:pt>
                <c:pt idx="18">
                  <c:v>0.31112263417163638</c:v>
                </c:pt>
                <c:pt idx="19">
                  <c:v>2.7041644131963284E-2</c:v>
                </c:pt>
                <c:pt idx="20">
                  <c:v>3.1725888324873157E-2</c:v>
                </c:pt>
                <c:pt idx="21">
                  <c:v>0.90427190520735856</c:v>
                </c:pt>
                <c:pt idx="22">
                  <c:v>3.4435261707988982E-2</c:v>
                </c:pt>
                <c:pt idx="23">
                  <c:v>0</c:v>
                </c:pt>
                <c:pt idx="24">
                  <c:v>0</c:v>
                </c:pt>
                <c:pt idx="25">
                  <c:v>0.46594982078853026</c:v>
                </c:pt>
                <c:pt idx="26">
                  <c:v>0.16812373907195688</c:v>
                </c:pt>
                <c:pt idx="27">
                  <c:v>0.192</c:v>
                </c:pt>
                <c:pt idx="28">
                  <c:v>0.31201248049922076</c:v>
                </c:pt>
                <c:pt idx="29">
                  <c:v>4.9902786779001964</c:v>
                </c:pt>
              </c:numCache>
            </c:numRef>
          </c:val>
        </c:ser>
        <c:ser>
          <c:idx val="0"/>
          <c:order val="1"/>
          <c:tx>
            <c:strRef>
              <c:f>'ESS4 tabel'!$J$1</c:f>
              <c:strCache>
                <c:ptCount val="1"/>
                <c:pt idx="0">
                  <c:v>Unable</c:v>
                </c:pt>
              </c:strCache>
            </c:strRef>
          </c:tx>
          <c:spPr>
            <a:solidFill>
              <a:srgbClr val="00B050"/>
            </a:solidFill>
          </c:spPr>
          <c:cat>
            <c:strRef>
              <c:f>'ESS4 tabel'!$G$2:$G$31</c:f>
              <c:strCache>
                <c:ptCount val="30"/>
                <c:pt idx="0">
                  <c:v>Croatia</c:v>
                </c:pt>
                <c:pt idx="1">
                  <c:v>Germany</c:v>
                </c:pt>
                <c:pt idx="2">
                  <c:v>France</c:v>
                </c:pt>
                <c:pt idx="3">
                  <c:v>Netherlands</c:v>
                </c:pt>
                <c:pt idx="4">
                  <c:v>Switzerland</c:v>
                </c:pt>
                <c:pt idx="5">
                  <c:v>Ireland</c:v>
                </c:pt>
                <c:pt idx="6">
                  <c:v>Lithuania</c:v>
                </c:pt>
                <c:pt idx="7">
                  <c:v>Denmark</c:v>
                </c:pt>
                <c:pt idx="8">
                  <c:v>United Kingdom</c:v>
                </c:pt>
                <c:pt idx="9">
                  <c:v>Estonia</c:v>
                </c:pt>
                <c:pt idx="10">
                  <c:v>Latvia</c:v>
                </c:pt>
                <c:pt idx="11">
                  <c:v>Belgium</c:v>
                </c:pt>
                <c:pt idx="12">
                  <c:v>Slovenia</c:v>
                </c:pt>
                <c:pt idx="13">
                  <c:v>Norway</c:v>
                </c:pt>
                <c:pt idx="14">
                  <c:v>Hungary</c:v>
                </c:pt>
                <c:pt idx="15">
                  <c:v>Ukraine</c:v>
                </c:pt>
                <c:pt idx="16">
                  <c:v>Sweden</c:v>
                </c:pt>
                <c:pt idx="17">
                  <c:v>Turkey</c:v>
                </c:pt>
                <c:pt idx="18">
                  <c:v>Spain</c:v>
                </c:pt>
                <c:pt idx="19">
                  <c:v>Russian Federation</c:v>
                </c:pt>
                <c:pt idx="20">
                  <c:v>Romania</c:v>
                </c:pt>
                <c:pt idx="21">
                  <c:v>Finland</c:v>
                </c:pt>
                <c:pt idx="22">
                  <c:v>Czech Republic</c:v>
                </c:pt>
                <c:pt idx="23">
                  <c:v>Poland</c:v>
                </c:pt>
                <c:pt idx="24">
                  <c:v>Slovakia</c:v>
                </c:pt>
                <c:pt idx="25">
                  <c:v>Greece</c:v>
                </c:pt>
                <c:pt idx="26">
                  <c:v>Bulgaria</c:v>
                </c:pt>
                <c:pt idx="27">
                  <c:v>Portugal</c:v>
                </c:pt>
                <c:pt idx="28">
                  <c:v>Israel</c:v>
                </c:pt>
                <c:pt idx="29">
                  <c:v>Cyprus</c:v>
                </c:pt>
              </c:strCache>
            </c:strRef>
          </c:cat>
          <c:val>
            <c:numRef>
              <c:f>'ESS4 tabel'!$J$2:$J$31</c:f>
              <c:numCache>
                <c:formatCode>0.00</c:formatCode>
                <c:ptCount val="30"/>
                <c:pt idx="0">
                  <c:v>0</c:v>
                </c:pt>
                <c:pt idx="1">
                  <c:v>3.401953942777395</c:v>
                </c:pt>
                <c:pt idx="2">
                  <c:v>1.5007146260123858</c:v>
                </c:pt>
                <c:pt idx="3">
                  <c:v>1.7376681614349776</c:v>
                </c:pt>
                <c:pt idx="4">
                  <c:v>0.30161776802851681</c:v>
                </c:pt>
                <c:pt idx="5">
                  <c:v>1.5780245470485097</c:v>
                </c:pt>
                <c:pt idx="6">
                  <c:v>0.44502617801047184</c:v>
                </c:pt>
                <c:pt idx="7">
                  <c:v>3.0120481927710778</c:v>
                </c:pt>
                <c:pt idx="8">
                  <c:v>1.73108845150581</c:v>
                </c:pt>
                <c:pt idx="9">
                  <c:v>3.3160621761657945</c:v>
                </c:pt>
                <c:pt idx="10">
                  <c:v>0.20461853259280952</c:v>
                </c:pt>
                <c:pt idx="11">
                  <c:v>4.3478260869565215</c:v>
                </c:pt>
                <c:pt idx="12">
                  <c:v>1.2408088235294117</c:v>
                </c:pt>
                <c:pt idx="13">
                  <c:v>2.4970737417089399</c:v>
                </c:pt>
                <c:pt idx="14">
                  <c:v>1.8261214767764986</c:v>
                </c:pt>
                <c:pt idx="15">
                  <c:v>0.96666666666666667</c:v>
                </c:pt>
                <c:pt idx="16">
                  <c:v>4.2459239130434794</c:v>
                </c:pt>
                <c:pt idx="17">
                  <c:v>0.18903591682419696</c:v>
                </c:pt>
                <c:pt idx="18">
                  <c:v>1.9445164635727286</c:v>
                </c:pt>
                <c:pt idx="19">
                  <c:v>0.59491617090319049</c:v>
                </c:pt>
                <c:pt idx="20">
                  <c:v>6.3451776649746314E-2</c:v>
                </c:pt>
                <c:pt idx="21">
                  <c:v>2.8687246647957592</c:v>
                </c:pt>
                <c:pt idx="22">
                  <c:v>0.48209366391184666</c:v>
                </c:pt>
                <c:pt idx="23">
                  <c:v>2.7264731750219875</c:v>
                </c:pt>
                <c:pt idx="24">
                  <c:v>0.24048096192384769</c:v>
                </c:pt>
                <c:pt idx="25">
                  <c:v>0.21505376344086041</c:v>
                </c:pt>
                <c:pt idx="26">
                  <c:v>0.77336919973100149</c:v>
                </c:pt>
                <c:pt idx="27">
                  <c:v>6.4000000000000112E-2</c:v>
                </c:pt>
                <c:pt idx="28">
                  <c:v>0.15600624024960999</c:v>
                </c:pt>
                <c:pt idx="29">
                  <c:v>0.25923525599481528</c:v>
                </c:pt>
              </c:numCache>
            </c:numRef>
          </c:val>
        </c:ser>
        <c:overlap val="100"/>
        <c:axId val="148098432"/>
        <c:axId val="84464000"/>
      </c:barChart>
      <c:catAx>
        <c:axId val="148098432"/>
        <c:scaling>
          <c:orientation val="minMax"/>
        </c:scaling>
        <c:axPos val="b"/>
        <c:tickLblPos val="nextTo"/>
        <c:txPr>
          <a:bodyPr/>
          <a:lstStyle/>
          <a:p>
            <a:pPr>
              <a:defRPr sz="800" baseline="0"/>
            </a:pPr>
            <a:endParaRPr lang="nl-NL"/>
          </a:p>
        </c:txPr>
        <c:crossAx val="84464000"/>
        <c:crosses val="autoZero"/>
        <c:auto val="1"/>
        <c:lblAlgn val="ctr"/>
        <c:lblOffset val="100"/>
      </c:catAx>
      <c:valAx>
        <c:axId val="84464000"/>
        <c:scaling>
          <c:orientation val="minMax"/>
        </c:scaling>
        <c:axPos val="l"/>
        <c:majorGridlines/>
        <c:title>
          <c:tx>
            <c:rich>
              <a:bodyPr rot="0" vert="horz"/>
              <a:lstStyle/>
              <a:p>
                <a:pPr>
                  <a:defRPr sz="800" baseline="0"/>
                </a:pPr>
                <a:r>
                  <a:rPr lang="nl-NL" sz="800" b="0" baseline="0"/>
                  <a:t>R4 NSD %</a:t>
                </a:r>
              </a:p>
            </c:rich>
          </c:tx>
          <c:layout>
            <c:manualLayout>
              <c:xMode val="edge"/>
              <c:yMode val="edge"/>
              <c:x val="5.3242320819112704E-2"/>
              <c:y val="4.2182191977960984E-2"/>
            </c:manualLayout>
          </c:layout>
        </c:title>
        <c:numFmt formatCode="0.00" sourceLinked="1"/>
        <c:tickLblPos val="nextTo"/>
        <c:txPr>
          <a:bodyPr/>
          <a:lstStyle/>
          <a:p>
            <a:pPr>
              <a:defRPr sz="800" baseline="0"/>
            </a:pPr>
            <a:endParaRPr lang="nl-NL"/>
          </a:p>
        </c:txPr>
        <c:crossAx val="148098432"/>
        <c:crosses val="autoZero"/>
        <c:crossBetween val="between"/>
      </c:valAx>
    </c:plotArea>
    <c:legend>
      <c:legendPos val="b"/>
      <c:txPr>
        <a:bodyPr/>
        <a:lstStyle/>
        <a:p>
          <a:pPr>
            <a:defRPr sz="800" baseline="0"/>
          </a:pPr>
          <a:endParaRPr lang="nl-NL"/>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nl-NL"/>
  <c:chart>
    <c:plotArea>
      <c:layout/>
      <c:barChart>
        <c:barDir val="col"/>
        <c:grouping val="clustered"/>
        <c:ser>
          <c:idx val="0"/>
          <c:order val="0"/>
          <c:tx>
            <c:strRef>
              <c:f>'R4-R5'!$N$29</c:f>
              <c:strCache>
                <c:ptCount val="1"/>
                <c:pt idx="0">
                  <c:v>R4</c:v>
                </c:pt>
              </c:strCache>
            </c:strRef>
          </c:tx>
          <c:cat>
            <c:strRef>
              <c:f>'R4-R5'!$M$30:$M$55</c:f>
              <c:strCache>
                <c:ptCount val="26"/>
                <c:pt idx="0">
                  <c:v>Belgium</c:v>
                </c:pt>
                <c:pt idx="1">
                  <c:v>Bulgaria</c:v>
                </c:pt>
                <c:pt idx="2">
                  <c:v>Croatia</c:v>
                </c:pt>
                <c:pt idx="3">
                  <c:v>Cyprus</c:v>
                </c:pt>
                <c:pt idx="4">
                  <c:v>Czech Republic</c:v>
                </c:pt>
                <c:pt idx="5">
                  <c:v>Denmark</c:v>
                </c:pt>
                <c:pt idx="6">
                  <c:v>Estonia</c:v>
                </c:pt>
                <c:pt idx="7">
                  <c:v>Finland</c:v>
                </c:pt>
                <c:pt idx="8">
                  <c:v>France</c:v>
                </c:pt>
                <c:pt idx="9">
                  <c:v>Germany</c:v>
                </c:pt>
                <c:pt idx="10">
                  <c:v>Greece</c:v>
                </c:pt>
                <c:pt idx="11">
                  <c:v>Hungary</c:v>
                </c:pt>
                <c:pt idx="12">
                  <c:v>Ireland</c:v>
                </c:pt>
                <c:pt idx="13">
                  <c:v>Israel</c:v>
                </c:pt>
                <c:pt idx="14">
                  <c:v>Netherlands</c:v>
                </c:pt>
                <c:pt idx="15">
                  <c:v>Norway</c:v>
                </c:pt>
                <c:pt idx="16">
                  <c:v>Poland</c:v>
                </c:pt>
                <c:pt idx="17">
                  <c:v>Portugal</c:v>
                </c:pt>
                <c:pt idx="18">
                  <c:v>Russian Federation</c:v>
                </c:pt>
                <c:pt idx="19">
                  <c:v>Slovakia</c:v>
                </c:pt>
                <c:pt idx="20">
                  <c:v>Slovenia</c:v>
                </c:pt>
                <c:pt idx="21">
                  <c:v>Spain</c:v>
                </c:pt>
                <c:pt idx="22">
                  <c:v>Sweden</c:v>
                </c:pt>
                <c:pt idx="23">
                  <c:v>Switzerland</c:v>
                </c:pt>
                <c:pt idx="24">
                  <c:v>Ukraine</c:v>
                </c:pt>
                <c:pt idx="25">
                  <c:v>United Kingdom</c:v>
                </c:pt>
              </c:strCache>
            </c:strRef>
          </c:cat>
          <c:val>
            <c:numRef>
              <c:f>'R4-R5'!$N$30:$N$55</c:f>
              <c:numCache>
                <c:formatCode>0.00</c:formatCode>
                <c:ptCount val="26"/>
                <c:pt idx="0">
                  <c:v>0.23411371237458192</c:v>
                </c:pt>
                <c:pt idx="1">
                  <c:v>0.30262273032952264</c:v>
                </c:pt>
                <c:pt idx="2">
                  <c:v>0.49276255004619646</c:v>
                </c:pt>
                <c:pt idx="3">
                  <c:v>0.97213220998055738</c:v>
                </c:pt>
                <c:pt idx="4">
                  <c:v>0.51652892561983466</c:v>
                </c:pt>
                <c:pt idx="5">
                  <c:v>0.87014725568942464</c:v>
                </c:pt>
                <c:pt idx="6">
                  <c:v>1.9689119170984455</c:v>
                </c:pt>
                <c:pt idx="7">
                  <c:v>4.8331774243841608</c:v>
                </c:pt>
                <c:pt idx="8">
                  <c:v>2.8108623153882788</c:v>
                </c:pt>
                <c:pt idx="9">
                  <c:v>3.4717376133984641</c:v>
                </c:pt>
                <c:pt idx="10">
                  <c:v>1.1827956989247312</c:v>
                </c:pt>
                <c:pt idx="11">
                  <c:v>2.1437078205637161</c:v>
                </c:pt>
                <c:pt idx="12">
                  <c:v>0.81823495032144944</c:v>
                </c:pt>
                <c:pt idx="13">
                  <c:v>4.6489859594383756</c:v>
                </c:pt>
                <c:pt idx="14">
                  <c:v>0.476457399103139</c:v>
                </c:pt>
                <c:pt idx="15">
                  <c:v>1.9508388607101055</c:v>
                </c:pt>
                <c:pt idx="16">
                  <c:v>2.0228671943711523</c:v>
                </c:pt>
                <c:pt idx="17">
                  <c:v>1.0880000000000001</c:v>
                </c:pt>
                <c:pt idx="18">
                  <c:v>0.27041644131963233</c:v>
                </c:pt>
                <c:pt idx="19">
                  <c:v>2.0841683366733466</c:v>
                </c:pt>
                <c:pt idx="20">
                  <c:v>9.696691176470587</c:v>
                </c:pt>
                <c:pt idx="21">
                  <c:v>1.7630282603059371</c:v>
                </c:pt>
                <c:pt idx="22">
                  <c:v>1.8342391304347827</c:v>
                </c:pt>
                <c:pt idx="23">
                  <c:v>9.5146695914450241</c:v>
                </c:pt>
                <c:pt idx="24">
                  <c:v>0.73333333333333339</c:v>
                </c:pt>
                <c:pt idx="25">
                  <c:v>5.7149632440123312</c:v>
                </c:pt>
              </c:numCache>
            </c:numRef>
          </c:val>
        </c:ser>
        <c:ser>
          <c:idx val="1"/>
          <c:order val="1"/>
          <c:tx>
            <c:strRef>
              <c:f>'R4-R5'!$O$29</c:f>
              <c:strCache>
                <c:ptCount val="1"/>
                <c:pt idx="0">
                  <c:v>R5</c:v>
                </c:pt>
              </c:strCache>
            </c:strRef>
          </c:tx>
          <c:cat>
            <c:strRef>
              <c:f>'R4-R5'!$M$30:$M$55</c:f>
              <c:strCache>
                <c:ptCount val="26"/>
                <c:pt idx="0">
                  <c:v>Belgium</c:v>
                </c:pt>
                <c:pt idx="1">
                  <c:v>Bulgaria</c:v>
                </c:pt>
                <c:pt idx="2">
                  <c:v>Croatia</c:v>
                </c:pt>
                <c:pt idx="3">
                  <c:v>Cyprus</c:v>
                </c:pt>
                <c:pt idx="4">
                  <c:v>Czech Republic</c:v>
                </c:pt>
                <c:pt idx="5">
                  <c:v>Denmark</c:v>
                </c:pt>
                <c:pt idx="6">
                  <c:v>Estonia</c:v>
                </c:pt>
                <c:pt idx="7">
                  <c:v>Finland</c:v>
                </c:pt>
                <c:pt idx="8">
                  <c:v>France</c:v>
                </c:pt>
                <c:pt idx="9">
                  <c:v>Germany</c:v>
                </c:pt>
                <c:pt idx="10">
                  <c:v>Greece</c:v>
                </c:pt>
                <c:pt idx="11">
                  <c:v>Hungary</c:v>
                </c:pt>
                <c:pt idx="12">
                  <c:v>Ireland</c:v>
                </c:pt>
                <c:pt idx="13">
                  <c:v>Israel</c:v>
                </c:pt>
                <c:pt idx="14">
                  <c:v>Netherlands</c:v>
                </c:pt>
                <c:pt idx="15">
                  <c:v>Norway</c:v>
                </c:pt>
                <c:pt idx="16">
                  <c:v>Poland</c:v>
                </c:pt>
                <c:pt idx="17">
                  <c:v>Portugal</c:v>
                </c:pt>
                <c:pt idx="18">
                  <c:v>Russian Federation</c:v>
                </c:pt>
                <c:pt idx="19">
                  <c:v>Slovakia</c:v>
                </c:pt>
                <c:pt idx="20">
                  <c:v>Slovenia</c:v>
                </c:pt>
                <c:pt idx="21">
                  <c:v>Spain</c:v>
                </c:pt>
                <c:pt idx="22">
                  <c:v>Sweden</c:v>
                </c:pt>
                <c:pt idx="23">
                  <c:v>Switzerland</c:v>
                </c:pt>
                <c:pt idx="24">
                  <c:v>Ukraine</c:v>
                </c:pt>
                <c:pt idx="25">
                  <c:v>United Kingdom</c:v>
                </c:pt>
              </c:strCache>
            </c:strRef>
          </c:cat>
          <c:val>
            <c:numRef>
              <c:f>'R4-R5'!$O$30:$O$55</c:f>
              <c:numCache>
                <c:formatCode>0.00</c:formatCode>
                <c:ptCount val="26"/>
                <c:pt idx="0">
                  <c:v>2.6026967701473822</c:v>
                </c:pt>
                <c:pt idx="1">
                  <c:v>0.7025761124121781</c:v>
                </c:pt>
                <c:pt idx="2">
                  <c:v>3.205551883674818</c:v>
                </c:pt>
                <c:pt idx="3">
                  <c:v>6.374758531873792</c:v>
                </c:pt>
                <c:pt idx="4">
                  <c:v>5.880623346074685E-2</c:v>
                </c:pt>
                <c:pt idx="5">
                  <c:v>0</c:v>
                </c:pt>
                <c:pt idx="6">
                  <c:v>3.3228840125391845</c:v>
                </c:pt>
                <c:pt idx="7">
                  <c:v>4.4001266223488456</c:v>
                </c:pt>
                <c:pt idx="8">
                  <c:v>1.1707051456575008</c:v>
                </c:pt>
                <c:pt idx="9">
                  <c:v>4.8539778449144002</c:v>
                </c:pt>
                <c:pt idx="10">
                  <c:v>9.66417008939357E-2</c:v>
                </c:pt>
                <c:pt idx="11">
                  <c:v>3.1801007556675076</c:v>
                </c:pt>
                <c:pt idx="12">
                  <c:v>3.8704781178851499</c:v>
                </c:pt>
                <c:pt idx="13">
                  <c:v>6.7005398539218799</c:v>
                </c:pt>
                <c:pt idx="14">
                  <c:v>0.75484082704299338</c:v>
                </c:pt>
                <c:pt idx="15">
                  <c:v>3.9745031871016128</c:v>
                </c:pt>
                <c:pt idx="16">
                  <c:v>3.2504012841091487</c:v>
                </c:pt>
                <c:pt idx="17">
                  <c:v>1.2480499219968804</c:v>
                </c:pt>
                <c:pt idx="18">
                  <c:v>0.87313816127375454</c:v>
                </c:pt>
                <c:pt idx="19">
                  <c:v>0.96540627514078847</c:v>
                </c:pt>
                <c:pt idx="20">
                  <c:v>2.9371271225332722</c:v>
                </c:pt>
                <c:pt idx="21">
                  <c:v>1.9265721555797894</c:v>
                </c:pt>
                <c:pt idx="22">
                  <c:v>5.4155313351498648</c:v>
                </c:pt>
                <c:pt idx="23">
                  <c:v>3.8584070796460175</c:v>
                </c:pt>
                <c:pt idx="24">
                  <c:v>8.7391594396264178</c:v>
                </c:pt>
                <c:pt idx="25">
                  <c:v>2.2082752208275225</c:v>
                </c:pt>
              </c:numCache>
            </c:numRef>
          </c:val>
        </c:ser>
        <c:axId val="84529152"/>
        <c:axId val="84530688"/>
      </c:barChart>
      <c:catAx>
        <c:axId val="84529152"/>
        <c:scaling>
          <c:orientation val="minMax"/>
        </c:scaling>
        <c:axPos val="b"/>
        <c:tickLblPos val="nextTo"/>
        <c:txPr>
          <a:bodyPr/>
          <a:lstStyle/>
          <a:p>
            <a:pPr>
              <a:defRPr sz="800" baseline="0"/>
            </a:pPr>
            <a:endParaRPr lang="nl-NL"/>
          </a:p>
        </c:txPr>
        <c:crossAx val="84530688"/>
        <c:crosses val="autoZero"/>
        <c:auto val="1"/>
        <c:lblAlgn val="ctr"/>
        <c:lblOffset val="100"/>
      </c:catAx>
      <c:valAx>
        <c:axId val="84530688"/>
        <c:scaling>
          <c:orientation val="minMax"/>
          <c:max val="10"/>
        </c:scaling>
        <c:axPos val="l"/>
        <c:majorGridlines/>
        <c:title>
          <c:tx>
            <c:rich>
              <a:bodyPr rot="0" vert="horz"/>
              <a:lstStyle/>
              <a:p>
                <a:pPr>
                  <a:defRPr/>
                </a:pPr>
                <a:r>
                  <a:rPr lang="en-US" sz="800" b="0" i="0" baseline="0"/>
                  <a:t>R4,R5 NSD %</a:t>
                </a:r>
              </a:p>
            </c:rich>
          </c:tx>
          <c:layout>
            <c:manualLayout>
              <c:xMode val="edge"/>
              <c:yMode val="edge"/>
              <c:x val="3.003412969283277E-2"/>
              <c:y val="5.0537283361772968E-2"/>
            </c:manualLayout>
          </c:layout>
        </c:title>
        <c:numFmt formatCode="0" sourceLinked="0"/>
        <c:tickLblPos val="nextTo"/>
        <c:txPr>
          <a:bodyPr/>
          <a:lstStyle/>
          <a:p>
            <a:pPr>
              <a:defRPr sz="800" baseline="0"/>
            </a:pPr>
            <a:endParaRPr lang="nl-NL"/>
          </a:p>
        </c:txPr>
        <c:crossAx val="84529152"/>
        <c:crosses val="autoZero"/>
        <c:crossBetween val="between"/>
      </c:valAx>
    </c:plotArea>
    <c:legend>
      <c:legendPos val="b"/>
    </c:legend>
    <c:plotVisOnly val="1"/>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70824-FD7B-4780-8732-EA29912A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1625</Words>
  <Characters>8941</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Sociaal en Cultureel Planbureau</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i.stoop</dc:creator>
  <cp:lastModifiedBy>i.stoop</cp:lastModifiedBy>
  <cp:revision>2</cp:revision>
  <dcterms:created xsi:type="dcterms:W3CDTF">2012-07-31T12:10:00Z</dcterms:created>
  <dcterms:modified xsi:type="dcterms:W3CDTF">2012-07-31T12:10:00Z</dcterms:modified>
</cp:coreProperties>
</file>