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CE" w:rsidRPr="00AA5CCE" w:rsidRDefault="00AA5CCE" w:rsidP="00AA5CCE">
      <w:pPr>
        <w:jc w:val="center"/>
        <w:rPr>
          <w:b/>
          <w:sz w:val="28"/>
          <w:szCs w:val="28"/>
          <w:lang w:val="en-CA"/>
        </w:rPr>
      </w:pPr>
      <w:r w:rsidRPr="00AA5CCE">
        <w:rPr>
          <w:rFonts w:cs="Arial"/>
          <w:b/>
          <w:sz w:val="28"/>
          <w:szCs w:val="28"/>
        </w:rPr>
        <w:t xml:space="preserve">Canada’s </w:t>
      </w:r>
      <w:r w:rsidRPr="00AA5CCE">
        <w:rPr>
          <w:rFonts w:cs="Arial"/>
          <w:b/>
          <w:i/>
          <w:sz w:val="28"/>
          <w:szCs w:val="28"/>
        </w:rPr>
        <w:t>National Household Survey: replacing the long form</w:t>
      </w:r>
    </w:p>
    <w:p w:rsidR="00AA5CCE" w:rsidRDefault="00AA5CCE" w:rsidP="003F1CC9">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Authors:</w:t>
      </w:r>
    </w:p>
    <w:p w:rsidR="004E7C8C" w:rsidRPr="008138C7" w:rsidRDefault="004E7C8C" w:rsidP="004E7C8C">
      <w:pPr>
        <w:rPr>
          <w:b/>
          <w:bCs/>
          <w:sz w:val="22"/>
          <w:szCs w:val="22"/>
          <w:lang w:val="en-CA"/>
        </w:rPr>
      </w:pPr>
    </w:p>
    <w:p w:rsidR="004E7C8C" w:rsidRDefault="004E7C8C" w:rsidP="004E7C8C">
      <w:pPr>
        <w:rPr>
          <w:sz w:val="22"/>
          <w:szCs w:val="22"/>
          <w:lang w:val="en-CA"/>
        </w:rPr>
      </w:pPr>
      <w:r w:rsidRPr="008138C7">
        <w:rPr>
          <w:sz w:val="22"/>
          <w:szCs w:val="22"/>
          <w:lang w:val="en-CA"/>
        </w:rPr>
        <w:t>Normand Laniel, Assistant Director,</w:t>
      </w:r>
      <w:r w:rsidR="0090607B">
        <w:rPr>
          <w:sz w:val="22"/>
          <w:szCs w:val="22"/>
          <w:lang w:val="en-CA"/>
        </w:rPr>
        <w:t xml:space="preserve"> Social Survey Methods Division</w:t>
      </w:r>
    </w:p>
    <w:p w:rsidR="0090607B" w:rsidRPr="008138C7" w:rsidRDefault="0090607B" w:rsidP="004E7C8C">
      <w:pPr>
        <w:rPr>
          <w:sz w:val="22"/>
          <w:szCs w:val="22"/>
          <w:lang w:val="en-CA"/>
        </w:rPr>
      </w:pPr>
      <w:r>
        <w:rPr>
          <w:sz w:val="22"/>
          <w:szCs w:val="22"/>
          <w:lang w:val="en-CA"/>
        </w:rPr>
        <w:t>Patrice Mathieu</w:t>
      </w:r>
      <w:r w:rsidR="00766CFB">
        <w:rPr>
          <w:sz w:val="22"/>
          <w:szCs w:val="22"/>
          <w:lang w:val="en-CA"/>
        </w:rPr>
        <w:t xml:space="preserve"> (presenter)</w:t>
      </w:r>
      <w:r>
        <w:rPr>
          <w:sz w:val="22"/>
          <w:szCs w:val="22"/>
          <w:lang w:val="en-CA"/>
        </w:rPr>
        <w:t>, Senior Methodologist, Social Survey Methods Division</w:t>
      </w:r>
    </w:p>
    <w:p w:rsidR="004E7C8C" w:rsidRPr="008138C7" w:rsidRDefault="004E7C8C" w:rsidP="004E7C8C">
      <w:pPr>
        <w:rPr>
          <w:sz w:val="22"/>
          <w:szCs w:val="22"/>
          <w:lang w:val="en-CA"/>
        </w:rPr>
      </w:pPr>
      <w:r w:rsidRPr="008138C7">
        <w:rPr>
          <w:sz w:val="22"/>
          <w:szCs w:val="22"/>
          <w:lang w:val="en-CA"/>
        </w:rPr>
        <w:t>François Verret</w:t>
      </w:r>
      <w:r w:rsidR="00766CFB">
        <w:rPr>
          <w:sz w:val="22"/>
          <w:szCs w:val="22"/>
          <w:lang w:val="en-CA"/>
        </w:rPr>
        <w:t xml:space="preserve"> (presenter)</w:t>
      </w:r>
      <w:r w:rsidRPr="008138C7">
        <w:rPr>
          <w:sz w:val="22"/>
          <w:szCs w:val="22"/>
          <w:lang w:val="en-CA"/>
        </w:rPr>
        <w:t>, Senior Methodologist, Social Survey Methods Division</w:t>
      </w:r>
    </w:p>
    <w:p w:rsidR="004E7C8C" w:rsidRPr="008138C7" w:rsidRDefault="004E7C8C" w:rsidP="004E7C8C">
      <w:pPr>
        <w:rPr>
          <w:b/>
          <w:bCs/>
          <w:sz w:val="22"/>
          <w:szCs w:val="22"/>
          <w:lang w:val="en-CA"/>
        </w:rPr>
      </w:pPr>
    </w:p>
    <w:p w:rsidR="004E7C8C" w:rsidRPr="008138C7" w:rsidRDefault="004E7C8C" w:rsidP="004E7C8C">
      <w:pPr>
        <w:rPr>
          <w:b/>
          <w:bCs/>
          <w:sz w:val="22"/>
          <w:szCs w:val="22"/>
          <w:lang w:val="en-CA"/>
        </w:rPr>
      </w:pPr>
    </w:p>
    <w:p w:rsidR="004E7C8C" w:rsidRPr="008138C7" w:rsidRDefault="004E7C8C" w:rsidP="004E7C8C">
      <w:pPr>
        <w:rPr>
          <w:b/>
          <w:bCs/>
          <w:sz w:val="22"/>
          <w:szCs w:val="22"/>
          <w:lang w:val="en-CA"/>
        </w:rPr>
      </w:pPr>
      <w:r w:rsidRPr="008138C7">
        <w:rPr>
          <w:b/>
          <w:bCs/>
          <w:sz w:val="22"/>
          <w:szCs w:val="22"/>
          <w:lang w:val="en-CA"/>
        </w:rPr>
        <w:t>1. Introduction</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the 2011 Census, the mandatory long form has been replaced by a voluntary survey, the National Household Survey (NHS). Voluntary surveys typically have lower unit response rates than mandatory ones. This implies that the NHS is more at risk of non-response bias than a mandatory long form. In order to mitigate this risk, the long form sampling and collection methodologies used in previous censuses were modified.  For the same reason, the estimation methodology also needs to change. However, the data needs have not changed and these have to be considered in the choice of the estimation methodology. </w:t>
      </w:r>
    </w:p>
    <w:p w:rsidR="004E7C8C"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The needs in long form socio-economic estimates are numerous and these are often for small domains. Users are interested in estimates for small geographic areas such as small municipalities, dissemination areas (i.e. </w:t>
      </w:r>
      <w:r w:rsidRPr="008138C7">
        <w:rPr>
          <w:sz w:val="22"/>
          <w:szCs w:val="22"/>
          <w:lang w:val="en-CA" w:eastAsia="fr-FR"/>
        </w:rPr>
        <w:t>area composed of one or more neighbouring blocks</w:t>
      </w:r>
      <w:r w:rsidRPr="008138C7">
        <w:rPr>
          <w:sz w:val="22"/>
          <w:szCs w:val="22"/>
          <w:lang w:val="en-CA"/>
        </w:rPr>
        <w:t xml:space="preserve"> for a total of about 250 dwellings) and blocks (i.e. a</w:t>
      </w:r>
      <w:r w:rsidRPr="008138C7">
        <w:rPr>
          <w:sz w:val="22"/>
          <w:szCs w:val="22"/>
          <w:lang w:val="en-CA" w:eastAsia="fr-FR"/>
        </w:rPr>
        <w:t>rea equivalent to a city block bounded by intersecting streets)</w:t>
      </w:r>
      <w:r w:rsidRPr="008138C7">
        <w:rPr>
          <w:sz w:val="22"/>
          <w:szCs w:val="22"/>
          <w:lang w:val="en-CA"/>
        </w:rPr>
        <w:t xml:space="preserve">. They also have interest in estimates for small populations such as Aboriginals, recent immigrants, low income households and persons with low education attainment. </w:t>
      </w:r>
      <w:r w:rsidR="00E13B19">
        <w:rPr>
          <w:sz w:val="22"/>
          <w:szCs w:val="22"/>
          <w:lang w:val="en-CA"/>
        </w:rPr>
        <w:t xml:space="preserve">Such estimates are important to support the planning of services for communities. The NHS topics include </w:t>
      </w:r>
      <w:r w:rsidR="00E13B19" w:rsidRPr="00DF6BE4">
        <w:rPr>
          <w:sz w:val="22"/>
          <w:szCs w:val="22"/>
          <w:lang w:val="en-CA"/>
        </w:rPr>
        <w:t>demography, family structure, languages</w:t>
      </w:r>
      <w:r w:rsidR="00E13B19">
        <w:rPr>
          <w:sz w:val="22"/>
          <w:szCs w:val="22"/>
          <w:lang w:val="en-CA"/>
        </w:rPr>
        <w:t xml:space="preserve">, </w:t>
      </w:r>
      <w:r w:rsidR="00E13B19" w:rsidRPr="00DF6BE4">
        <w:rPr>
          <w:sz w:val="22"/>
          <w:szCs w:val="22"/>
          <w:lang w:val="en-CA"/>
        </w:rPr>
        <w:t>education, ethnicity, income, immigration, mobility, labour market and dwelling information.</w:t>
      </w:r>
      <w:r w:rsidR="00E13B19">
        <w:rPr>
          <w:sz w:val="22"/>
          <w:szCs w:val="22"/>
          <w:lang w:val="en-CA"/>
        </w:rPr>
        <w:t xml:space="preserve"> The first three topics are also part of the Census.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The focus of this </w:t>
      </w:r>
      <w:r>
        <w:rPr>
          <w:sz w:val="22"/>
          <w:szCs w:val="22"/>
          <w:lang w:val="en-CA"/>
        </w:rPr>
        <w:t>paper</w:t>
      </w:r>
      <w:r w:rsidRPr="008138C7">
        <w:rPr>
          <w:sz w:val="22"/>
          <w:szCs w:val="22"/>
          <w:lang w:val="en-CA"/>
        </w:rPr>
        <w:t xml:space="preserve"> </w:t>
      </w:r>
      <w:r>
        <w:rPr>
          <w:sz w:val="22"/>
          <w:szCs w:val="22"/>
          <w:lang w:val="en-CA"/>
        </w:rPr>
        <w:t xml:space="preserve">is to </w:t>
      </w:r>
      <w:r w:rsidRPr="008138C7">
        <w:rPr>
          <w:sz w:val="22"/>
          <w:szCs w:val="22"/>
          <w:lang w:val="en-CA"/>
        </w:rPr>
        <w:t xml:space="preserve">provide </w:t>
      </w:r>
      <w:r>
        <w:rPr>
          <w:sz w:val="22"/>
          <w:szCs w:val="22"/>
          <w:lang w:val="en-CA"/>
        </w:rPr>
        <w:t>a description</w:t>
      </w:r>
      <w:r w:rsidRPr="008138C7">
        <w:rPr>
          <w:sz w:val="22"/>
          <w:szCs w:val="22"/>
          <w:lang w:val="en-CA"/>
        </w:rPr>
        <w:t xml:space="preserve"> and results on the sampling methodology and collection operations.</w:t>
      </w:r>
      <w:r>
        <w:rPr>
          <w:sz w:val="22"/>
          <w:szCs w:val="22"/>
          <w:lang w:val="en-CA"/>
        </w:rPr>
        <w:t xml:space="preserve"> It also discusses some of the research done with respect to </w:t>
      </w:r>
      <w:r w:rsidRPr="008138C7">
        <w:rPr>
          <w:sz w:val="22"/>
          <w:szCs w:val="22"/>
          <w:lang w:val="en-CA"/>
        </w:rPr>
        <w:t>the estimation methodology of the NHS</w:t>
      </w:r>
      <w:r>
        <w:rPr>
          <w:sz w:val="22"/>
          <w:szCs w:val="22"/>
          <w:lang w:val="en-CA"/>
        </w:rPr>
        <w:t>.</w:t>
      </w:r>
      <w:r w:rsidRPr="008138C7">
        <w:rPr>
          <w:sz w:val="22"/>
          <w:szCs w:val="22"/>
          <w:lang w:val="en-CA"/>
        </w:rPr>
        <w:t xml:space="preserve"> </w:t>
      </w:r>
      <w:r w:rsidR="00392C9F">
        <w:rPr>
          <w:sz w:val="22"/>
          <w:szCs w:val="22"/>
          <w:lang w:val="en-CA"/>
        </w:rPr>
        <w:t>There is not much time left for that research as t</w:t>
      </w:r>
      <w:r>
        <w:rPr>
          <w:sz w:val="22"/>
          <w:szCs w:val="22"/>
          <w:lang w:val="en-CA"/>
        </w:rPr>
        <w:t xml:space="preserve">he final weights for the sample have to be delivered </w:t>
      </w:r>
      <w:r w:rsidR="00392C9F">
        <w:rPr>
          <w:sz w:val="22"/>
          <w:szCs w:val="22"/>
          <w:lang w:val="en-CA"/>
        </w:rPr>
        <w:t>in early November 2012.</w:t>
      </w:r>
    </w:p>
    <w:p w:rsidR="004E7C8C" w:rsidRPr="008138C7" w:rsidRDefault="004E7C8C" w:rsidP="004E7C8C">
      <w:pPr>
        <w:rPr>
          <w:sz w:val="22"/>
          <w:szCs w:val="22"/>
          <w:lang w:val="en-CA"/>
        </w:rPr>
      </w:pP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2. Sampling and data collection</w:t>
      </w:r>
    </w:p>
    <w:p w:rsidR="004E7C8C" w:rsidRPr="008138C7" w:rsidRDefault="004E7C8C" w:rsidP="004E7C8C">
      <w:pPr>
        <w:rPr>
          <w:sz w:val="22"/>
          <w:szCs w:val="22"/>
          <w:lang w:val="en-CA"/>
        </w:rPr>
      </w:pPr>
    </w:p>
    <w:p w:rsidR="00B3336E" w:rsidRDefault="004E7C8C" w:rsidP="004E7C8C">
      <w:pPr>
        <w:rPr>
          <w:sz w:val="22"/>
          <w:szCs w:val="22"/>
          <w:lang w:val="en-CA"/>
        </w:rPr>
      </w:pPr>
      <w:r w:rsidRPr="008138C7">
        <w:rPr>
          <w:sz w:val="22"/>
          <w:szCs w:val="22"/>
          <w:lang w:val="en-CA"/>
        </w:rPr>
        <w:t xml:space="preserve">For the 2011 NHS, the sampling and collection methodologies closely followed an approach developed by Hansen and Hurwitz (1946) designed to deal with unit non-response in surveys and thus mitigate the risk of non-response bias. Given the data needs, the general NHS approach called for the selection of a first phase sample for which data were mostly collected via low cost modes such as self response ones (e.g. Internet and mail). The next step involved following up a sub-sample of first phase non-respondents via more effective but more costly modes, i.e. telephone and in-person interviews. </w:t>
      </w:r>
    </w:p>
    <w:p w:rsidR="00B3336E" w:rsidRDefault="00B3336E" w:rsidP="004E7C8C">
      <w:pPr>
        <w:rPr>
          <w:sz w:val="22"/>
          <w:szCs w:val="22"/>
          <w:lang w:val="en-CA"/>
        </w:rPr>
      </w:pPr>
    </w:p>
    <w:p w:rsidR="00B3336E" w:rsidRPr="00DF6BE4" w:rsidRDefault="00B3336E" w:rsidP="00B3336E">
      <w:pPr>
        <w:rPr>
          <w:sz w:val="22"/>
          <w:szCs w:val="22"/>
          <w:lang w:val="en-CA"/>
        </w:rPr>
      </w:pPr>
      <w:r>
        <w:rPr>
          <w:sz w:val="22"/>
          <w:szCs w:val="22"/>
          <w:lang w:val="en-CA"/>
        </w:rPr>
        <w:t>The NHS data collection made use of the Census infrastructure and staff to minimize costs and burden on respondents.</w:t>
      </w:r>
      <w:r w:rsidRPr="00B3336E">
        <w:rPr>
          <w:sz w:val="22"/>
          <w:szCs w:val="22"/>
          <w:lang w:val="en-CA"/>
        </w:rPr>
        <w:t xml:space="preserve"> </w:t>
      </w:r>
      <w:r>
        <w:rPr>
          <w:sz w:val="22"/>
          <w:szCs w:val="22"/>
          <w:lang w:val="en-CA"/>
        </w:rPr>
        <w:t xml:space="preserve">For the Census, </w:t>
      </w:r>
      <w:r w:rsidRPr="00DF6BE4">
        <w:rPr>
          <w:sz w:val="22"/>
          <w:szCs w:val="22"/>
          <w:lang w:val="en-CA"/>
        </w:rPr>
        <w:t xml:space="preserve">80% of the </w:t>
      </w:r>
      <w:r>
        <w:rPr>
          <w:sz w:val="22"/>
          <w:szCs w:val="22"/>
          <w:lang w:val="en-CA"/>
        </w:rPr>
        <w:t>dwelling</w:t>
      </w:r>
      <w:r w:rsidRPr="00DF6BE4">
        <w:rPr>
          <w:sz w:val="22"/>
          <w:szCs w:val="22"/>
          <w:lang w:val="en-CA"/>
        </w:rPr>
        <w:t>s were in Mail-out (MO) areas</w:t>
      </w:r>
      <w:r>
        <w:rPr>
          <w:sz w:val="22"/>
          <w:szCs w:val="22"/>
          <w:lang w:val="en-CA"/>
        </w:rPr>
        <w:t xml:space="preserve">, </w:t>
      </w:r>
      <w:r w:rsidRPr="00DF6BE4">
        <w:rPr>
          <w:sz w:val="22"/>
          <w:szCs w:val="22"/>
          <w:lang w:val="en-CA"/>
        </w:rPr>
        <w:t xml:space="preserve">where delivery of questionnaires </w:t>
      </w:r>
      <w:r>
        <w:rPr>
          <w:sz w:val="22"/>
          <w:szCs w:val="22"/>
          <w:lang w:val="en-CA"/>
        </w:rPr>
        <w:t xml:space="preserve">or letters </w:t>
      </w:r>
      <w:r w:rsidRPr="00DF6BE4">
        <w:rPr>
          <w:sz w:val="22"/>
          <w:szCs w:val="22"/>
          <w:lang w:val="en-CA"/>
        </w:rPr>
        <w:t>is by Canada Post</w:t>
      </w:r>
      <w:r>
        <w:rPr>
          <w:sz w:val="22"/>
          <w:szCs w:val="22"/>
          <w:lang w:val="en-CA"/>
        </w:rPr>
        <w:t xml:space="preserve">, </w:t>
      </w:r>
      <w:r w:rsidRPr="00DF6BE4">
        <w:rPr>
          <w:sz w:val="22"/>
          <w:szCs w:val="22"/>
          <w:lang w:val="en-CA"/>
        </w:rPr>
        <w:t>and 20% were in List/Leave (L/L) areas</w:t>
      </w:r>
      <w:r>
        <w:rPr>
          <w:sz w:val="22"/>
          <w:szCs w:val="22"/>
          <w:lang w:val="en-CA"/>
        </w:rPr>
        <w:t xml:space="preserve">, </w:t>
      </w:r>
      <w:r w:rsidRPr="00DF6BE4">
        <w:rPr>
          <w:sz w:val="22"/>
          <w:szCs w:val="22"/>
          <w:lang w:val="en-CA"/>
        </w:rPr>
        <w:t xml:space="preserve">where delivery of questionnaires </w:t>
      </w:r>
      <w:r>
        <w:rPr>
          <w:sz w:val="22"/>
          <w:szCs w:val="22"/>
          <w:lang w:val="en-CA"/>
        </w:rPr>
        <w:t xml:space="preserve">or reminders </w:t>
      </w:r>
      <w:r w:rsidRPr="00DF6BE4">
        <w:rPr>
          <w:sz w:val="22"/>
          <w:szCs w:val="22"/>
          <w:lang w:val="en-CA"/>
        </w:rPr>
        <w:t>is by Census representatives.</w:t>
      </w:r>
    </w:p>
    <w:p w:rsidR="00B3336E" w:rsidRDefault="00B3336E"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More details are provided below on the first and second phases of sampling and collection. Note that, for Indian Reserves and northern areas where only personal interviews are conducted, the sampling fraction was 100%. These areas are out of scope for this paper and represent no more than 3% of the target population of the NHS.</w:t>
      </w: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2.1 First phase sampling and collection</w:t>
      </w:r>
    </w:p>
    <w:p w:rsidR="004E7C8C" w:rsidRPr="008138C7" w:rsidRDefault="004E7C8C" w:rsidP="004E7C8C">
      <w:pPr>
        <w:rPr>
          <w:sz w:val="22"/>
          <w:szCs w:val="22"/>
          <w:lang w:val="en-CA"/>
        </w:rPr>
      </w:pPr>
    </w:p>
    <w:p w:rsidR="004E7C8C" w:rsidRPr="008138C7" w:rsidRDefault="00F42DBB" w:rsidP="004E7C8C">
      <w:pPr>
        <w:rPr>
          <w:sz w:val="22"/>
          <w:szCs w:val="22"/>
          <w:lang w:val="en-CA"/>
        </w:rPr>
      </w:pPr>
      <w:r>
        <w:rPr>
          <w:sz w:val="22"/>
          <w:szCs w:val="22"/>
          <w:lang w:val="en-CA"/>
        </w:rPr>
        <w:t>As described in Mathieu and Morin (2010), f</w:t>
      </w:r>
      <w:r w:rsidR="004E7C8C" w:rsidRPr="008138C7">
        <w:rPr>
          <w:sz w:val="22"/>
          <w:szCs w:val="22"/>
          <w:lang w:val="en-CA"/>
        </w:rPr>
        <w:t xml:space="preserve">or the first phase of sampling, the dwellings were stratified by collection unit (i.e. a geographic area of about 300 dwellings on average used to manage collection activities). The sampling fraction varied slightly by province and mode of letter/questionnaire delivery (i.e. mail-out and list/leave) and averaged at 30% nationally. Systematic sampling with geographic ordering was used </w:t>
      </w:r>
      <w:r w:rsidR="001B09C1" w:rsidRPr="008138C7">
        <w:rPr>
          <w:sz w:val="22"/>
          <w:szCs w:val="22"/>
          <w:lang w:val="en-CA"/>
        </w:rPr>
        <w:t xml:space="preserve">within each stratum </w:t>
      </w:r>
      <w:r w:rsidR="004E7C8C" w:rsidRPr="008138C7">
        <w:rPr>
          <w:sz w:val="22"/>
          <w:szCs w:val="22"/>
          <w:lang w:val="en-CA"/>
        </w:rPr>
        <w:t>to select the sample</w:t>
      </w:r>
      <w:r w:rsidR="001B09C1">
        <w:rPr>
          <w:sz w:val="22"/>
          <w:szCs w:val="22"/>
          <w:lang w:val="en-CA"/>
        </w:rPr>
        <w:t xml:space="preserve"> of 4.5 million dwellings</w:t>
      </w:r>
      <w:r w:rsidR="004E7C8C" w:rsidRPr="008138C7">
        <w:rPr>
          <w:sz w:val="22"/>
          <w:szCs w:val="22"/>
          <w:lang w:val="en-CA"/>
        </w:rPr>
        <w:t>.</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data collection, a wave methodology was used and depended on the mode of response used by the household for the Census. For dwellings where the household completed the census via Internet, the first wave consisted of offering to complete the NHS immediately after the completion of the census. The second wave consisted of sending a reminder letter to first wave non-responding dwellings in mail-out areas and of dropping-off a questionnaire in list/leave areas. The third wave consisted of doing interviews mostly in-person but also some via telephone for second wave non-responding dwellings. These NHS interviews were done concurrently to census non-response follow-up until July 14 in order to benefit from the large crew of field enumerators which ensured a low unit cost. </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For dwellings where the household returned a completed census by mail, the first wave consisted of mailing a paper questionnaire if the dwelling was in mail-out areas and of dropping it off if the dwelling was in list/leave areas. The second wave took place only in mail-out areas and consisted of sending a reminder letter to first wave non-responding dwellings. The third wave consisted of doing interviews mostly in-person but also some via telephone for non-responding dwellings. These NHS interviews were also done concurrently to census non-response follow-up until July 14 for cost reasons.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dwellings where the household had not completed the census, collection essentially consisted of doing interviews mostly in-person but also some via telephone for non-responding dwellings. These NHS interviews were also done concurrently to census non-response follow-up until July 14 to maintain low unit cost. </w:t>
      </w: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2.2 Second phase sampling and collection</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On July 14, the NHS collection unit cost started to be higher due to a decrease in the number of census enumerators as a consequence of a reducing census workload. It was then decided to continue the follow-up only for a sub-sample of the non-responding dwellings in order to minimize the risk of non-response bias given the resources then available. </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The sub-sampling involved stratifying the dwellings in the first phase sample as either responding or non-responding. The non-responding dwellings were then further stratified by enumeration zone (i.e. a group of 2 to 3 collection units) in most areas to ensure an acceptable sample yield in every stratum. In areas where a high concentration of small populations with lower response propensity (e.g. Aboriginals, immigrants, </w:t>
      </w:r>
      <w:proofErr w:type="gramStart"/>
      <w:r w:rsidRPr="008138C7">
        <w:rPr>
          <w:sz w:val="22"/>
          <w:szCs w:val="22"/>
          <w:lang w:val="en-CA"/>
        </w:rPr>
        <w:t>visible</w:t>
      </w:r>
      <w:proofErr w:type="gramEnd"/>
      <w:r w:rsidRPr="008138C7">
        <w:rPr>
          <w:sz w:val="22"/>
          <w:szCs w:val="22"/>
          <w:lang w:val="en-CA"/>
        </w:rPr>
        <w:t xml:space="preserve"> minorities, persons with low education attainment or low income) among the non-responding dwellings was expected, the collection unit was used as the stratum. A sampling fraction of 30% was used in regular strata and of 50% in small population strata. The latter fraction was used to reduce the sampling error for the small populations with lower response propensity. Systematic sampling with geographic ordering was used </w:t>
      </w:r>
      <w:r w:rsidR="001B09C1" w:rsidRPr="008138C7">
        <w:rPr>
          <w:sz w:val="22"/>
          <w:szCs w:val="22"/>
          <w:lang w:val="en-CA"/>
        </w:rPr>
        <w:t xml:space="preserve">within each second phase stratum </w:t>
      </w:r>
      <w:r w:rsidRPr="008138C7">
        <w:rPr>
          <w:sz w:val="22"/>
          <w:szCs w:val="22"/>
          <w:lang w:val="en-CA"/>
        </w:rPr>
        <w:t>to select the sub-sample</w:t>
      </w:r>
      <w:r w:rsidR="001B09C1">
        <w:rPr>
          <w:sz w:val="22"/>
          <w:szCs w:val="22"/>
          <w:lang w:val="en-CA"/>
        </w:rPr>
        <w:t xml:space="preserve"> of 450,000 dwellings</w:t>
      </w:r>
      <w:r w:rsidRPr="008138C7">
        <w:rPr>
          <w:sz w:val="22"/>
          <w:szCs w:val="22"/>
          <w:lang w:val="en-CA"/>
        </w:rPr>
        <w:t>.</w:t>
      </w:r>
    </w:p>
    <w:p w:rsidR="004E7C8C" w:rsidRPr="008138C7" w:rsidRDefault="004E7C8C" w:rsidP="004E7C8C">
      <w:pPr>
        <w:rPr>
          <w:sz w:val="22"/>
          <w:szCs w:val="22"/>
          <w:lang w:val="en-CA"/>
        </w:rPr>
      </w:pPr>
    </w:p>
    <w:p w:rsidR="004E7C8C" w:rsidRDefault="004E7C8C" w:rsidP="004E7C8C">
      <w:pPr>
        <w:rPr>
          <w:sz w:val="22"/>
          <w:szCs w:val="22"/>
          <w:lang w:val="en-CA"/>
        </w:rPr>
      </w:pPr>
      <w:r w:rsidRPr="008138C7">
        <w:rPr>
          <w:sz w:val="22"/>
          <w:szCs w:val="22"/>
          <w:lang w:val="en-CA"/>
        </w:rPr>
        <w:t xml:space="preserve">From July 14 to the end of NHS collection, a mix of telephone and in-person interviews was used to collect data from first phase non-responding dwellings selected in the sub-sample. The collection was managed in order to enhance the representation of lower response propensity populations as well as to increase response rates in areas with heterogeneous populations in the sub-sample. Essentially, higher weighted response rates were set as targets </w:t>
      </w:r>
      <w:r w:rsidRPr="008138C7">
        <w:rPr>
          <w:sz w:val="22"/>
          <w:szCs w:val="22"/>
          <w:lang w:val="en-CA"/>
        </w:rPr>
        <w:lastRenderedPageBreak/>
        <w:t xml:space="preserve">for areas where these populations are present in higher concentration and greater effort was focused to obtain responses in these areas. </w:t>
      </w:r>
    </w:p>
    <w:p w:rsidR="0096271A" w:rsidRDefault="0096271A" w:rsidP="004E7C8C">
      <w:pPr>
        <w:rPr>
          <w:sz w:val="22"/>
          <w:szCs w:val="22"/>
          <w:lang w:val="en-CA"/>
        </w:rPr>
      </w:pPr>
    </w:p>
    <w:p w:rsidR="0096271A" w:rsidRDefault="0096271A" w:rsidP="004E7C8C">
      <w:pPr>
        <w:rPr>
          <w:sz w:val="22"/>
          <w:szCs w:val="22"/>
          <w:lang w:val="en-CA"/>
        </w:rPr>
      </w:pPr>
      <w:r>
        <w:rPr>
          <w:sz w:val="22"/>
          <w:szCs w:val="22"/>
          <w:lang w:val="en-CA"/>
        </w:rPr>
        <w:t>The following table summarises the NHS collection methodology.</w:t>
      </w:r>
    </w:p>
    <w:p w:rsidR="0096271A" w:rsidRPr="0096271A" w:rsidRDefault="0096271A" w:rsidP="004E7C8C">
      <w:pPr>
        <w:rPr>
          <w:sz w:val="22"/>
          <w:szCs w:val="22"/>
          <w:lang w:val="en-CA"/>
        </w:rPr>
      </w:pPr>
    </w:p>
    <w:tbl>
      <w:tblPr>
        <w:tblW w:w="9360" w:type="dxa"/>
        <w:tblCellMar>
          <w:left w:w="0" w:type="dxa"/>
          <w:right w:w="0" w:type="dxa"/>
        </w:tblCellMar>
        <w:tblLook w:val="04A0"/>
      </w:tblPr>
      <w:tblGrid>
        <w:gridCol w:w="1537"/>
        <w:gridCol w:w="2281"/>
        <w:gridCol w:w="2626"/>
        <w:gridCol w:w="2916"/>
      </w:tblGrid>
      <w:tr w:rsidR="0096271A" w:rsidRPr="0096271A" w:rsidTr="0096271A">
        <w:trPr>
          <w:trHeight w:val="405"/>
        </w:trPr>
        <w:tc>
          <w:tcPr>
            <w:tcW w:w="2080" w:type="dxa"/>
            <w:vMerge w:val="restart"/>
            <w:tcBorders>
              <w:top w:val="single" w:sz="18" w:space="0" w:color="003366"/>
              <w:left w:val="single" w:sz="1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b/>
                <w:bCs/>
                <w:color w:val="000000"/>
                <w:kern w:val="24"/>
                <w:sz w:val="22"/>
                <w:szCs w:val="22"/>
                <w:lang w:val="en-CA" w:eastAsia="fr-CA"/>
              </w:rPr>
              <w:t>Census status</w:t>
            </w:r>
          </w:p>
        </w:tc>
        <w:tc>
          <w:tcPr>
            <w:tcW w:w="12040" w:type="dxa"/>
            <w:gridSpan w:val="3"/>
            <w:tcBorders>
              <w:top w:val="single" w:sz="1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jc w:val="center"/>
              <w:textAlignment w:val="baseline"/>
              <w:rPr>
                <w:sz w:val="22"/>
                <w:szCs w:val="22"/>
                <w:lang w:val="fr-CA" w:eastAsia="fr-CA"/>
              </w:rPr>
            </w:pPr>
            <w:r w:rsidRPr="0096271A">
              <w:rPr>
                <w:rFonts w:eastAsia="Lucida Sans Unicode"/>
                <w:b/>
                <w:bCs/>
                <w:color w:val="000000"/>
                <w:kern w:val="24"/>
                <w:sz w:val="22"/>
                <w:szCs w:val="22"/>
                <w:lang w:val="en-CA" w:eastAsia="fr-CA"/>
              </w:rPr>
              <w:t>NHS</w:t>
            </w:r>
            <w:r>
              <w:rPr>
                <w:rFonts w:eastAsia="Lucida Sans Unicode"/>
                <w:b/>
                <w:bCs/>
                <w:color w:val="000000"/>
                <w:kern w:val="24"/>
                <w:sz w:val="22"/>
                <w:szCs w:val="22"/>
                <w:lang w:val="en-CA" w:eastAsia="fr-CA"/>
              </w:rPr>
              <w:t xml:space="preserve"> Collection</w:t>
            </w:r>
          </w:p>
        </w:tc>
      </w:tr>
      <w:tr w:rsidR="0096271A" w:rsidRPr="0096271A" w:rsidTr="0096271A">
        <w:trPr>
          <w:trHeight w:val="817"/>
        </w:trPr>
        <w:tc>
          <w:tcPr>
            <w:tcW w:w="0" w:type="auto"/>
            <w:vMerge/>
            <w:tcBorders>
              <w:top w:val="single" w:sz="18" w:space="0" w:color="003366"/>
              <w:left w:val="single" w:sz="18" w:space="0" w:color="003366"/>
              <w:bottom w:val="single" w:sz="8" w:space="0" w:color="003366"/>
              <w:right w:val="single" w:sz="8" w:space="0" w:color="003366"/>
            </w:tcBorders>
            <w:vAlign w:val="center"/>
            <w:hideMark/>
          </w:tcPr>
          <w:p w:rsidR="0096271A" w:rsidRPr="0096271A" w:rsidRDefault="0096271A" w:rsidP="0096271A">
            <w:pPr>
              <w:rPr>
                <w:sz w:val="22"/>
                <w:szCs w:val="22"/>
                <w:lang w:val="fr-CA" w:eastAsia="fr-CA"/>
              </w:rPr>
            </w:pPr>
          </w:p>
        </w:tc>
        <w:tc>
          <w:tcPr>
            <w:tcW w:w="324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jc w:val="center"/>
              <w:textAlignment w:val="baseline"/>
              <w:rPr>
                <w:sz w:val="22"/>
                <w:szCs w:val="22"/>
                <w:lang w:val="fr-CA" w:eastAsia="fr-CA"/>
              </w:rPr>
            </w:pPr>
            <w:r w:rsidRPr="0096271A">
              <w:rPr>
                <w:rFonts w:eastAsia="Lucida Sans Unicode"/>
                <w:b/>
                <w:bCs/>
                <w:kern w:val="24"/>
                <w:sz w:val="22"/>
                <w:szCs w:val="22"/>
                <w:lang w:val="en-CA" w:eastAsia="fr-CA"/>
              </w:rPr>
              <w:t>Wave 1</w:t>
            </w:r>
          </w:p>
        </w:tc>
        <w:tc>
          <w:tcPr>
            <w:tcW w:w="402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jc w:val="center"/>
              <w:textAlignment w:val="baseline"/>
              <w:rPr>
                <w:rFonts w:eastAsia="Lucida Sans Unicode"/>
                <w:b/>
                <w:bCs/>
                <w:kern w:val="24"/>
                <w:sz w:val="22"/>
                <w:szCs w:val="22"/>
                <w:lang w:val="en-CA" w:eastAsia="fr-CA"/>
              </w:rPr>
            </w:pPr>
            <w:r w:rsidRPr="0096271A">
              <w:rPr>
                <w:rFonts w:eastAsia="Lucida Sans Unicode"/>
                <w:b/>
                <w:bCs/>
                <w:kern w:val="24"/>
                <w:sz w:val="22"/>
                <w:szCs w:val="22"/>
                <w:lang w:val="en-CA" w:eastAsia="fr-CA"/>
              </w:rPr>
              <w:t xml:space="preserve">Wave 2 </w:t>
            </w:r>
          </w:p>
          <w:p w:rsidR="0096271A" w:rsidRPr="0096271A" w:rsidRDefault="0096271A" w:rsidP="0096271A">
            <w:pPr>
              <w:kinsoku w:val="0"/>
              <w:overflowPunct w:val="0"/>
              <w:spacing w:after="96"/>
              <w:jc w:val="center"/>
              <w:textAlignment w:val="baseline"/>
              <w:rPr>
                <w:sz w:val="22"/>
                <w:szCs w:val="22"/>
                <w:lang w:val="en-CA" w:eastAsia="fr-CA"/>
              </w:rPr>
            </w:pPr>
            <w:r w:rsidRPr="0096271A">
              <w:rPr>
                <w:rFonts w:eastAsia="Lucida Sans Unicode"/>
                <w:b/>
                <w:bCs/>
                <w:kern w:val="24"/>
                <w:sz w:val="22"/>
                <w:szCs w:val="22"/>
                <w:lang w:val="en-CA" w:eastAsia="fr-CA"/>
              </w:rPr>
              <w:t>(for Wave 1 non-respondents)</w:t>
            </w:r>
          </w:p>
        </w:tc>
        <w:tc>
          <w:tcPr>
            <w:tcW w:w="4800" w:type="dxa"/>
            <w:tcBorders>
              <w:top w:val="single" w:sz="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jc w:val="center"/>
              <w:textAlignment w:val="baseline"/>
              <w:rPr>
                <w:rFonts w:eastAsia="Lucida Sans Unicode"/>
                <w:b/>
                <w:bCs/>
                <w:kern w:val="24"/>
                <w:sz w:val="22"/>
                <w:szCs w:val="22"/>
                <w:lang w:val="en-CA" w:eastAsia="fr-CA"/>
              </w:rPr>
            </w:pPr>
            <w:r w:rsidRPr="0096271A">
              <w:rPr>
                <w:rFonts w:eastAsia="Lucida Sans Unicode"/>
                <w:b/>
                <w:bCs/>
                <w:kern w:val="24"/>
                <w:sz w:val="22"/>
                <w:szCs w:val="22"/>
                <w:lang w:val="en-CA" w:eastAsia="fr-CA"/>
              </w:rPr>
              <w:t>Wave 3</w:t>
            </w:r>
          </w:p>
          <w:p w:rsidR="0096271A" w:rsidRPr="0096271A" w:rsidRDefault="0096271A" w:rsidP="0096271A">
            <w:pPr>
              <w:kinsoku w:val="0"/>
              <w:overflowPunct w:val="0"/>
              <w:spacing w:after="96"/>
              <w:jc w:val="center"/>
              <w:textAlignment w:val="baseline"/>
              <w:rPr>
                <w:sz w:val="22"/>
                <w:szCs w:val="22"/>
                <w:lang w:val="en-CA" w:eastAsia="fr-CA"/>
              </w:rPr>
            </w:pPr>
            <w:r w:rsidRPr="0096271A">
              <w:rPr>
                <w:rFonts w:eastAsia="Lucida Sans Unicode"/>
                <w:b/>
                <w:bCs/>
                <w:kern w:val="24"/>
                <w:sz w:val="22"/>
                <w:szCs w:val="22"/>
                <w:lang w:val="en-CA" w:eastAsia="fr-CA"/>
              </w:rPr>
              <w:t>(for Wave 2 non-respondents after July14)</w:t>
            </w:r>
          </w:p>
        </w:tc>
      </w:tr>
      <w:tr w:rsidR="0096271A" w:rsidRPr="0096271A" w:rsidTr="0096271A">
        <w:trPr>
          <w:trHeight w:val="781"/>
        </w:trPr>
        <w:tc>
          <w:tcPr>
            <w:tcW w:w="2080" w:type="dxa"/>
            <w:tcBorders>
              <w:top w:val="single" w:sz="8" w:space="0" w:color="003366"/>
              <w:left w:val="single" w:sz="1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b/>
                <w:bCs/>
                <w:color w:val="000000"/>
                <w:kern w:val="24"/>
                <w:sz w:val="22"/>
                <w:szCs w:val="22"/>
                <w:lang w:val="en-CA" w:eastAsia="fr-CA"/>
              </w:rPr>
              <w:t>Internet response</w:t>
            </w:r>
          </w:p>
        </w:tc>
        <w:tc>
          <w:tcPr>
            <w:tcW w:w="324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en-CA" w:eastAsia="fr-CA"/>
              </w:rPr>
            </w:pPr>
            <w:r w:rsidRPr="0096271A">
              <w:rPr>
                <w:rFonts w:eastAsia="Lucida Sans Unicode"/>
                <w:kern w:val="24"/>
                <w:sz w:val="22"/>
                <w:szCs w:val="22"/>
                <w:lang w:val="en-CA" w:eastAsia="fr-CA"/>
              </w:rPr>
              <w:t>Internet offer after completing Census on-line</w:t>
            </w:r>
          </w:p>
        </w:tc>
        <w:tc>
          <w:tcPr>
            <w:tcW w:w="402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kern w:val="24"/>
                <w:sz w:val="22"/>
                <w:szCs w:val="22"/>
                <w:lang w:val="fr-CA" w:eastAsia="fr-CA"/>
              </w:rPr>
              <w:t xml:space="preserve">MO - </w:t>
            </w:r>
            <w:proofErr w:type="spellStart"/>
            <w:r w:rsidRPr="0096271A">
              <w:rPr>
                <w:rFonts w:eastAsia="Lucida Sans Unicode"/>
                <w:kern w:val="24"/>
                <w:sz w:val="22"/>
                <w:szCs w:val="22"/>
                <w:lang w:val="fr-CA" w:eastAsia="fr-CA"/>
              </w:rPr>
              <w:t>Reminder</w:t>
            </w:r>
            <w:proofErr w:type="spellEnd"/>
            <w:r w:rsidRPr="0096271A">
              <w:rPr>
                <w:rFonts w:eastAsia="Lucida Sans Unicode"/>
                <w:kern w:val="24"/>
                <w:sz w:val="22"/>
                <w:szCs w:val="22"/>
                <w:lang w:val="fr-CA" w:eastAsia="fr-CA"/>
              </w:rPr>
              <w:t xml:space="preserve"> </w:t>
            </w:r>
            <w:proofErr w:type="spellStart"/>
            <w:r w:rsidRPr="0096271A">
              <w:rPr>
                <w:rFonts w:eastAsia="Lucida Sans Unicode"/>
                <w:kern w:val="24"/>
                <w:sz w:val="22"/>
                <w:szCs w:val="22"/>
                <w:lang w:val="fr-CA" w:eastAsia="fr-CA"/>
              </w:rPr>
              <w:t>letter</w:t>
            </w:r>
            <w:proofErr w:type="spellEnd"/>
            <w:r w:rsidRPr="0096271A">
              <w:rPr>
                <w:rFonts w:eastAsia="Lucida Sans Unicode"/>
                <w:kern w:val="24"/>
                <w:sz w:val="22"/>
                <w:szCs w:val="22"/>
                <w:lang w:val="fr-CA" w:eastAsia="fr-CA"/>
              </w:rPr>
              <w:t xml:space="preserve"> </w:t>
            </w:r>
          </w:p>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kern w:val="24"/>
                <w:sz w:val="22"/>
                <w:szCs w:val="22"/>
                <w:lang w:val="fr-CA" w:eastAsia="fr-CA"/>
              </w:rPr>
              <w:t>L/L - Questionnaire</w:t>
            </w:r>
          </w:p>
        </w:tc>
        <w:tc>
          <w:tcPr>
            <w:tcW w:w="4800" w:type="dxa"/>
            <w:tcBorders>
              <w:top w:val="single" w:sz="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en-CA" w:eastAsia="fr-CA"/>
              </w:rPr>
            </w:pPr>
            <w:r w:rsidRPr="0096271A">
              <w:rPr>
                <w:rFonts w:eastAsia="Lucida Sans Unicode"/>
                <w:kern w:val="24"/>
                <w:sz w:val="22"/>
                <w:szCs w:val="22"/>
                <w:lang w:val="en-CA" w:eastAsia="fr-CA"/>
              </w:rPr>
              <w:t>Interview offer concurrent to Census follow-up activities</w:t>
            </w:r>
          </w:p>
        </w:tc>
      </w:tr>
      <w:tr w:rsidR="0096271A" w:rsidRPr="0096271A" w:rsidTr="0096271A">
        <w:trPr>
          <w:trHeight w:val="34"/>
        </w:trPr>
        <w:tc>
          <w:tcPr>
            <w:tcW w:w="2080" w:type="dxa"/>
            <w:tcBorders>
              <w:top w:val="single" w:sz="8" w:space="0" w:color="003366"/>
              <w:left w:val="single" w:sz="1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b/>
                <w:bCs/>
                <w:color w:val="000000"/>
                <w:kern w:val="24"/>
                <w:sz w:val="22"/>
                <w:szCs w:val="22"/>
                <w:lang w:val="en-CA" w:eastAsia="fr-CA"/>
              </w:rPr>
              <w:t>Mail response</w:t>
            </w:r>
          </w:p>
        </w:tc>
        <w:tc>
          <w:tcPr>
            <w:tcW w:w="324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kern w:val="24"/>
                <w:sz w:val="22"/>
                <w:szCs w:val="22"/>
                <w:lang w:val="en-CA" w:eastAsia="fr-CA"/>
              </w:rPr>
              <w:t xml:space="preserve">Questionnaire delivered early June </w:t>
            </w:r>
          </w:p>
        </w:tc>
        <w:tc>
          <w:tcPr>
            <w:tcW w:w="4020" w:type="dxa"/>
            <w:tcBorders>
              <w:top w:val="single" w:sz="8" w:space="0" w:color="003366"/>
              <w:left w:val="single" w:sz="8" w:space="0" w:color="003366"/>
              <w:bottom w:val="single" w:sz="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kern w:val="24"/>
                <w:sz w:val="22"/>
                <w:szCs w:val="22"/>
                <w:lang w:val="en-CA" w:eastAsia="fr-CA"/>
              </w:rPr>
              <w:t xml:space="preserve">MO - Reminder letter </w:t>
            </w:r>
          </w:p>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kern w:val="24"/>
                <w:sz w:val="22"/>
                <w:szCs w:val="22"/>
                <w:lang w:val="en-CA" w:eastAsia="fr-CA"/>
              </w:rPr>
              <w:t xml:space="preserve">L/L – </w:t>
            </w:r>
            <w:proofErr w:type="spellStart"/>
            <w:r w:rsidRPr="0096271A">
              <w:rPr>
                <w:rFonts w:eastAsia="Lucida Sans Unicode"/>
                <w:kern w:val="24"/>
                <w:sz w:val="22"/>
                <w:szCs w:val="22"/>
                <w:lang w:val="en-CA" w:eastAsia="fr-CA"/>
              </w:rPr>
              <w:t>n.a</w:t>
            </w:r>
            <w:proofErr w:type="spellEnd"/>
            <w:r w:rsidRPr="0096271A">
              <w:rPr>
                <w:rFonts w:eastAsia="Lucida Sans Unicode"/>
                <w:kern w:val="24"/>
                <w:sz w:val="22"/>
                <w:szCs w:val="22"/>
                <w:lang w:val="en-CA" w:eastAsia="fr-CA"/>
              </w:rPr>
              <w:t>.</w:t>
            </w:r>
          </w:p>
        </w:tc>
        <w:tc>
          <w:tcPr>
            <w:tcW w:w="4800" w:type="dxa"/>
            <w:tcBorders>
              <w:top w:val="single" w:sz="8" w:space="0" w:color="003366"/>
              <w:left w:val="single" w:sz="8" w:space="0" w:color="003366"/>
              <w:bottom w:val="single" w:sz="8" w:space="0" w:color="003366"/>
              <w:right w:val="single" w:sz="1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en-CA" w:eastAsia="fr-CA"/>
              </w:rPr>
            </w:pPr>
            <w:r w:rsidRPr="0096271A">
              <w:rPr>
                <w:rFonts w:eastAsia="Lucida Sans Unicode"/>
                <w:kern w:val="24"/>
                <w:sz w:val="22"/>
                <w:szCs w:val="22"/>
                <w:lang w:val="en-CA" w:eastAsia="fr-CA"/>
              </w:rPr>
              <w:t>Interview offer concurrent to Census follow-up activities</w:t>
            </w:r>
          </w:p>
        </w:tc>
      </w:tr>
      <w:tr w:rsidR="0096271A" w:rsidRPr="0096271A" w:rsidTr="0096271A">
        <w:trPr>
          <w:trHeight w:val="520"/>
        </w:trPr>
        <w:tc>
          <w:tcPr>
            <w:tcW w:w="2080" w:type="dxa"/>
            <w:tcBorders>
              <w:top w:val="single" w:sz="8" w:space="0" w:color="003366"/>
              <w:left w:val="single" w:sz="1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r w:rsidRPr="0096271A">
              <w:rPr>
                <w:rFonts w:eastAsia="Lucida Sans Unicode"/>
                <w:b/>
                <w:bCs/>
                <w:color w:val="000000"/>
                <w:kern w:val="24"/>
                <w:sz w:val="22"/>
                <w:szCs w:val="22"/>
                <w:lang w:val="en-CA" w:eastAsia="fr-CA"/>
              </w:rPr>
              <w:t>No response</w:t>
            </w:r>
          </w:p>
        </w:tc>
        <w:tc>
          <w:tcPr>
            <w:tcW w:w="3240" w:type="dxa"/>
            <w:tcBorders>
              <w:top w:val="single" w:sz="8" w:space="0" w:color="003366"/>
              <w:left w:val="single" w:sz="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proofErr w:type="spellStart"/>
            <w:r w:rsidRPr="0096271A">
              <w:rPr>
                <w:rFonts w:eastAsia="Lucida Sans Unicode"/>
                <w:kern w:val="24"/>
                <w:sz w:val="22"/>
                <w:szCs w:val="22"/>
                <w:lang w:val="en-CA" w:eastAsia="fr-CA"/>
              </w:rPr>
              <w:t>n.a</w:t>
            </w:r>
            <w:proofErr w:type="spellEnd"/>
            <w:r w:rsidRPr="0096271A">
              <w:rPr>
                <w:rFonts w:eastAsia="Lucida Sans Unicode"/>
                <w:kern w:val="24"/>
                <w:sz w:val="22"/>
                <w:szCs w:val="22"/>
                <w:lang w:val="en-CA" w:eastAsia="fr-CA"/>
              </w:rPr>
              <w:t>.</w:t>
            </w:r>
          </w:p>
        </w:tc>
        <w:tc>
          <w:tcPr>
            <w:tcW w:w="4020" w:type="dxa"/>
            <w:tcBorders>
              <w:top w:val="single" w:sz="8" w:space="0" w:color="003366"/>
              <w:left w:val="single" w:sz="8" w:space="0" w:color="003366"/>
              <w:bottom w:val="single" w:sz="18" w:space="0" w:color="003366"/>
              <w:right w:val="single" w:sz="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fr-CA" w:eastAsia="fr-CA"/>
              </w:rPr>
            </w:pPr>
            <w:proofErr w:type="spellStart"/>
            <w:r w:rsidRPr="0096271A">
              <w:rPr>
                <w:rFonts w:eastAsia="Lucida Sans Unicode"/>
                <w:kern w:val="24"/>
                <w:sz w:val="22"/>
                <w:szCs w:val="22"/>
                <w:lang w:val="en-CA" w:eastAsia="fr-CA"/>
              </w:rPr>
              <w:t>n.a</w:t>
            </w:r>
            <w:proofErr w:type="spellEnd"/>
            <w:r w:rsidRPr="0096271A">
              <w:rPr>
                <w:rFonts w:eastAsia="Lucida Sans Unicode"/>
                <w:kern w:val="24"/>
                <w:sz w:val="22"/>
                <w:szCs w:val="22"/>
                <w:lang w:val="en-CA" w:eastAsia="fr-CA"/>
              </w:rPr>
              <w:t>.</w:t>
            </w:r>
          </w:p>
        </w:tc>
        <w:tc>
          <w:tcPr>
            <w:tcW w:w="4800" w:type="dxa"/>
            <w:tcBorders>
              <w:top w:val="single" w:sz="8" w:space="0" w:color="003366"/>
              <w:left w:val="single" w:sz="8" w:space="0" w:color="003366"/>
              <w:bottom w:val="single" w:sz="18" w:space="0" w:color="003366"/>
              <w:right w:val="single" w:sz="18" w:space="0" w:color="003366"/>
            </w:tcBorders>
            <w:shd w:val="clear" w:color="auto" w:fill="auto"/>
            <w:tcMar>
              <w:top w:w="72" w:type="dxa"/>
              <w:left w:w="144" w:type="dxa"/>
              <w:bottom w:w="72" w:type="dxa"/>
              <w:right w:w="144" w:type="dxa"/>
            </w:tcMar>
            <w:hideMark/>
          </w:tcPr>
          <w:p w:rsidR="0096271A" w:rsidRPr="0096271A" w:rsidRDefault="0096271A" w:rsidP="0096271A">
            <w:pPr>
              <w:kinsoku w:val="0"/>
              <w:overflowPunct w:val="0"/>
              <w:spacing w:after="96"/>
              <w:textAlignment w:val="baseline"/>
              <w:rPr>
                <w:sz w:val="22"/>
                <w:szCs w:val="22"/>
                <w:lang w:val="en-CA" w:eastAsia="fr-CA"/>
              </w:rPr>
            </w:pPr>
            <w:r w:rsidRPr="0096271A">
              <w:rPr>
                <w:rFonts w:eastAsia="Lucida Sans Unicode"/>
                <w:kern w:val="24"/>
                <w:sz w:val="22"/>
                <w:szCs w:val="22"/>
                <w:lang w:val="en-CA" w:eastAsia="fr-CA"/>
              </w:rPr>
              <w:t>Interview offer following Census Interview</w:t>
            </w:r>
          </w:p>
        </w:tc>
      </w:tr>
    </w:tbl>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2.3 Results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At the time of selecting the sub-sample, the response rate was 63.3%.  With the follow-up effort and additional self-response, the response rate raised to 69.3% (</w:t>
      </w:r>
      <w:proofErr w:type="spellStart"/>
      <w:r w:rsidRPr="008138C7">
        <w:rPr>
          <w:sz w:val="22"/>
          <w:szCs w:val="22"/>
          <w:lang w:val="en-CA"/>
        </w:rPr>
        <w:t>unweighted</w:t>
      </w:r>
      <w:proofErr w:type="spellEnd"/>
      <w:r w:rsidRPr="008138C7">
        <w:rPr>
          <w:sz w:val="22"/>
          <w:szCs w:val="22"/>
          <w:lang w:val="en-CA"/>
        </w:rPr>
        <w:t>) by the end of collection activities. For the sub-sample itself, the response rate was 43.5%. When accounting for the sub-sampling, the overall weighted response rate was 78.6%. The outcome of sampling and collection activities is illustrated in the diagram below.</w:t>
      </w:r>
    </w:p>
    <w:p w:rsidR="004E7C8C" w:rsidRPr="008138C7" w:rsidRDefault="004E7C8C" w:rsidP="004E7C8C">
      <w:pPr>
        <w:jc w:val="center"/>
        <w:rPr>
          <w:sz w:val="22"/>
          <w:szCs w:val="22"/>
          <w:lang w:val="en-CA"/>
        </w:rPr>
      </w:pPr>
      <w:r>
        <w:rPr>
          <w:noProof/>
          <w:sz w:val="22"/>
          <w:szCs w:val="22"/>
          <w:lang w:val="fr-CA" w:eastAsia="fr-CA"/>
        </w:rPr>
        <w:drawing>
          <wp:inline distT="0" distB="0" distL="0" distR="0">
            <wp:extent cx="4471035" cy="3028315"/>
            <wp:effectExtent l="19050" t="0" r="5715" b="0"/>
            <wp:docPr id="1" name="Obje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 2"/>
                    <pic:cNvPicPr>
                      <a:picLocks noChangeArrowheads="1"/>
                    </pic:cNvPicPr>
                  </pic:nvPicPr>
                  <pic:blipFill>
                    <a:blip r:embed="rId7" cstate="print"/>
                    <a:srcRect t="-3253" r="-43" b="-340"/>
                    <a:stretch>
                      <a:fillRect/>
                    </a:stretch>
                  </pic:blipFill>
                  <pic:spPr bwMode="auto">
                    <a:xfrm>
                      <a:off x="0" y="0"/>
                      <a:ext cx="4471035" cy="3028315"/>
                    </a:xfrm>
                    <a:prstGeom prst="rect">
                      <a:avLst/>
                    </a:prstGeom>
                    <a:noFill/>
                    <a:ln w="9525">
                      <a:noFill/>
                      <a:miter lim="800000"/>
                      <a:headEnd/>
                      <a:tailEnd/>
                    </a:ln>
                  </pic:spPr>
                </pic:pic>
              </a:graphicData>
            </a:graphic>
          </wp:inline>
        </w:drawing>
      </w:r>
    </w:p>
    <w:p w:rsidR="004E7C8C" w:rsidRPr="008138C7" w:rsidRDefault="004E7C8C" w:rsidP="004E7C8C">
      <w:pPr>
        <w:rPr>
          <w:b/>
          <w:bCs/>
          <w:i/>
          <w:iCs/>
          <w:sz w:val="22"/>
          <w:szCs w:val="22"/>
          <w:lang w:val="en-CA"/>
        </w:rPr>
      </w:pPr>
    </w:p>
    <w:p w:rsidR="0096271A" w:rsidRDefault="0096271A" w:rsidP="004E7C8C">
      <w:pPr>
        <w:rPr>
          <w:b/>
          <w:bCs/>
          <w:sz w:val="22"/>
          <w:szCs w:val="22"/>
          <w:lang w:val="en-CA"/>
        </w:rPr>
      </w:pPr>
    </w:p>
    <w:p w:rsidR="004E7C8C" w:rsidRPr="008138C7" w:rsidRDefault="004E7C8C" w:rsidP="004E7C8C">
      <w:pPr>
        <w:rPr>
          <w:sz w:val="22"/>
          <w:szCs w:val="22"/>
          <w:lang w:val="en-CA"/>
        </w:rPr>
      </w:pPr>
      <w:r w:rsidRPr="008138C7">
        <w:rPr>
          <w:b/>
          <w:bCs/>
          <w:sz w:val="22"/>
          <w:szCs w:val="22"/>
          <w:lang w:val="en-CA"/>
        </w:rPr>
        <w:lastRenderedPageBreak/>
        <w:t>3. Estimation</w:t>
      </w:r>
    </w:p>
    <w:p w:rsidR="004E7C8C" w:rsidRPr="008138C7" w:rsidRDefault="004E7C8C" w:rsidP="004E7C8C">
      <w:pPr>
        <w:rPr>
          <w:sz w:val="22"/>
          <w:szCs w:val="22"/>
          <w:lang w:val="en-CA"/>
        </w:rPr>
      </w:pPr>
    </w:p>
    <w:p w:rsidR="004E7C8C" w:rsidRDefault="001B09C1" w:rsidP="001B09C1">
      <w:pPr>
        <w:rPr>
          <w:sz w:val="22"/>
          <w:szCs w:val="22"/>
          <w:lang w:val="en-CA"/>
        </w:rPr>
      </w:pPr>
      <w:r>
        <w:rPr>
          <w:sz w:val="22"/>
          <w:szCs w:val="22"/>
          <w:lang w:val="en-CA"/>
        </w:rPr>
        <w:t xml:space="preserve">An </w:t>
      </w:r>
      <w:r w:rsidRPr="008138C7">
        <w:rPr>
          <w:sz w:val="22"/>
          <w:szCs w:val="22"/>
          <w:lang w:val="en-CA"/>
        </w:rPr>
        <w:t>estimation question that require</w:t>
      </w:r>
      <w:r>
        <w:rPr>
          <w:sz w:val="22"/>
          <w:szCs w:val="22"/>
          <w:lang w:val="en-CA"/>
        </w:rPr>
        <w:t>s</w:t>
      </w:r>
      <w:r w:rsidRPr="008138C7">
        <w:rPr>
          <w:sz w:val="22"/>
          <w:szCs w:val="22"/>
          <w:lang w:val="en-CA"/>
        </w:rPr>
        <w:t xml:space="preserve"> special attention in order to minimize biases in the NHS estimates</w:t>
      </w:r>
      <w:r>
        <w:rPr>
          <w:sz w:val="22"/>
          <w:szCs w:val="22"/>
          <w:lang w:val="en-CA"/>
        </w:rPr>
        <w:t xml:space="preserve"> is </w:t>
      </w:r>
      <w:r w:rsidRPr="008138C7">
        <w:rPr>
          <w:sz w:val="22"/>
          <w:szCs w:val="22"/>
          <w:lang w:val="en-CA"/>
        </w:rPr>
        <w:t xml:space="preserve">the adjustment </w:t>
      </w:r>
      <w:r w:rsidRPr="003F1CC9">
        <w:rPr>
          <w:sz w:val="22"/>
          <w:szCs w:val="22"/>
          <w:lang w:val="en-CA"/>
        </w:rPr>
        <w:t xml:space="preserve">for </w:t>
      </w:r>
      <w:r w:rsidRPr="003F1CC9">
        <w:rPr>
          <w:iCs/>
          <w:sz w:val="22"/>
          <w:szCs w:val="22"/>
          <w:lang w:val="en-CA"/>
        </w:rPr>
        <w:t>unit non-response</w:t>
      </w:r>
      <w:r>
        <w:rPr>
          <w:iCs/>
          <w:sz w:val="22"/>
          <w:szCs w:val="22"/>
          <w:lang w:val="en-CA"/>
        </w:rPr>
        <w:t xml:space="preserve">. </w:t>
      </w:r>
      <w:r w:rsidRPr="003F1CC9">
        <w:rPr>
          <w:sz w:val="22"/>
          <w:szCs w:val="22"/>
          <w:lang w:val="en-CA"/>
        </w:rPr>
        <w:t xml:space="preserve"> </w:t>
      </w:r>
      <w:r w:rsidR="004E7C8C" w:rsidRPr="008138C7">
        <w:rPr>
          <w:sz w:val="22"/>
          <w:szCs w:val="22"/>
          <w:lang w:val="en-CA"/>
        </w:rPr>
        <w:t>Th</w:t>
      </w:r>
      <w:r>
        <w:rPr>
          <w:sz w:val="22"/>
          <w:szCs w:val="22"/>
          <w:lang w:val="en-CA"/>
        </w:rPr>
        <w:t>is</w:t>
      </w:r>
      <w:r w:rsidR="004E7C8C" w:rsidRPr="008138C7">
        <w:rPr>
          <w:sz w:val="22"/>
          <w:szCs w:val="22"/>
          <w:lang w:val="en-CA"/>
        </w:rPr>
        <w:t xml:space="preserve"> </w:t>
      </w:r>
      <w:r>
        <w:rPr>
          <w:sz w:val="22"/>
          <w:szCs w:val="22"/>
          <w:lang w:val="en-CA"/>
        </w:rPr>
        <w:t>question</w:t>
      </w:r>
      <w:r w:rsidR="004E7C8C" w:rsidRPr="008138C7">
        <w:rPr>
          <w:sz w:val="22"/>
          <w:szCs w:val="22"/>
          <w:lang w:val="en-CA"/>
        </w:rPr>
        <w:t xml:space="preserve"> </w:t>
      </w:r>
      <w:r>
        <w:rPr>
          <w:sz w:val="22"/>
          <w:szCs w:val="22"/>
          <w:lang w:val="en-CA"/>
        </w:rPr>
        <w:t>is</w:t>
      </w:r>
      <w:r w:rsidR="004E7C8C" w:rsidRPr="008138C7">
        <w:rPr>
          <w:sz w:val="22"/>
          <w:szCs w:val="22"/>
          <w:lang w:val="en-CA"/>
        </w:rPr>
        <w:t xml:space="preserve"> discussed below and </w:t>
      </w:r>
      <w:r>
        <w:rPr>
          <w:sz w:val="22"/>
          <w:szCs w:val="22"/>
          <w:lang w:val="en-CA"/>
        </w:rPr>
        <w:t>is</w:t>
      </w:r>
      <w:r w:rsidR="004E7C8C" w:rsidRPr="008138C7">
        <w:rPr>
          <w:sz w:val="22"/>
          <w:szCs w:val="22"/>
          <w:lang w:val="en-CA"/>
        </w:rPr>
        <w:t xml:space="preserve"> followed by a brief discussion on the calibration to census </w:t>
      </w:r>
      <w:proofErr w:type="gramStart"/>
      <w:r w:rsidR="004E7C8C" w:rsidRPr="008138C7">
        <w:rPr>
          <w:sz w:val="22"/>
          <w:szCs w:val="22"/>
          <w:lang w:val="en-CA"/>
        </w:rPr>
        <w:t>counts which is</w:t>
      </w:r>
      <w:proofErr w:type="gramEnd"/>
      <w:r w:rsidR="004E7C8C" w:rsidRPr="008138C7">
        <w:rPr>
          <w:sz w:val="22"/>
          <w:szCs w:val="22"/>
          <w:lang w:val="en-CA"/>
        </w:rPr>
        <w:t xml:space="preserve"> the last estimation step.</w:t>
      </w: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3.1 Unit non-response adjustment</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Given the NHS sub-sampling design and collection strategy, unit non-response comes in two categories: (</w:t>
      </w:r>
      <w:proofErr w:type="spellStart"/>
      <w:r w:rsidRPr="008138C7">
        <w:rPr>
          <w:sz w:val="22"/>
          <w:szCs w:val="22"/>
          <w:lang w:val="en-CA"/>
        </w:rPr>
        <w:t>i</w:t>
      </w:r>
      <w:proofErr w:type="spellEnd"/>
      <w:r w:rsidRPr="008138C7">
        <w:rPr>
          <w:sz w:val="22"/>
          <w:szCs w:val="22"/>
          <w:lang w:val="en-CA"/>
        </w:rPr>
        <w:t xml:space="preserve">) non-response of households selected in the sub-sample and (ii) non-response of households not selected in the sub-sample. Three main approaches of unit non-response adjustment have been subject to some analysis, all of them making use of the auxiliary data available for both respondents and non-respondents (i.e. census geographic, demographic and linguistic data; total revenue and salary &amp; wages from linked income tax data; Census and NHS </w:t>
      </w:r>
      <w:proofErr w:type="spellStart"/>
      <w:r w:rsidRPr="008138C7">
        <w:rPr>
          <w:sz w:val="22"/>
          <w:szCs w:val="22"/>
          <w:lang w:val="en-CA"/>
        </w:rPr>
        <w:t>paradata</w:t>
      </w:r>
      <w:proofErr w:type="spellEnd"/>
      <w:r w:rsidRPr="008138C7">
        <w:rPr>
          <w:sz w:val="22"/>
          <w:szCs w:val="22"/>
          <w:lang w:val="en-CA"/>
        </w:rPr>
        <w:t xml:space="preserve">, i.e. sampling and collection information). </w:t>
      </w:r>
    </w:p>
    <w:p w:rsidR="00C01632" w:rsidRPr="008138C7" w:rsidRDefault="00C01632"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Approaches</w:t>
      </w:r>
    </w:p>
    <w:p w:rsidR="004E7C8C" w:rsidRPr="008138C7" w:rsidRDefault="004E7C8C" w:rsidP="004E7C8C">
      <w:pPr>
        <w:rPr>
          <w:sz w:val="22"/>
          <w:szCs w:val="22"/>
          <w:lang w:val="en-CA"/>
        </w:rPr>
      </w:pPr>
      <w:r w:rsidRPr="008138C7">
        <w:rPr>
          <w:sz w:val="22"/>
          <w:szCs w:val="22"/>
          <w:lang w:val="en-CA"/>
        </w:rPr>
        <w:t xml:space="preserve">The first approach, </w:t>
      </w:r>
      <w:r w:rsidRPr="008138C7">
        <w:rPr>
          <w:i/>
          <w:iCs/>
          <w:sz w:val="22"/>
          <w:szCs w:val="22"/>
          <w:lang w:val="en-CA"/>
        </w:rPr>
        <w:t>mass imputation</w:t>
      </w:r>
      <w:r w:rsidRPr="008138C7">
        <w:rPr>
          <w:sz w:val="22"/>
          <w:szCs w:val="22"/>
          <w:lang w:val="en-CA"/>
        </w:rPr>
        <w:t>, consists of using donor imputation to obtain non-census data for all of the NHS non-respondent</w:t>
      </w:r>
      <w:r w:rsidR="0076073F">
        <w:rPr>
          <w:sz w:val="22"/>
          <w:szCs w:val="22"/>
          <w:lang w:val="en-CA"/>
        </w:rPr>
        <w:t xml:space="preserve"> households</w:t>
      </w:r>
      <w:r w:rsidRPr="008138C7">
        <w:rPr>
          <w:sz w:val="22"/>
          <w:szCs w:val="22"/>
          <w:lang w:val="en-CA"/>
        </w:rPr>
        <w:t xml:space="preserve">, i.e. both in the sub-sample and not. Under that approach the design weight assigned to all the respondents and non-respondents is the inverse of the first phase sampling fraction. </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The second approach, </w:t>
      </w:r>
      <w:r w:rsidRPr="008138C7">
        <w:rPr>
          <w:i/>
          <w:iCs/>
          <w:sz w:val="22"/>
          <w:szCs w:val="22"/>
          <w:lang w:val="en-CA"/>
        </w:rPr>
        <w:t>partial imputation</w:t>
      </w:r>
      <w:r w:rsidRPr="008138C7">
        <w:rPr>
          <w:sz w:val="22"/>
          <w:szCs w:val="22"/>
          <w:lang w:val="en-CA"/>
        </w:rPr>
        <w:t>, uses donor imputation to obtain non-census data only for the non-respondent</w:t>
      </w:r>
      <w:r w:rsidR="0076073F">
        <w:rPr>
          <w:sz w:val="22"/>
          <w:szCs w:val="22"/>
          <w:lang w:val="en-CA"/>
        </w:rPr>
        <w:t xml:space="preserve"> households</w:t>
      </w:r>
      <w:r w:rsidRPr="008138C7">
        <w:rPr>
          <w:sz w:val="22"/>
          <w:szCs w:val="22"/>
          <w:lang w:val="en-CA"/>
        </w:rPr>
        <w:t xml:space="preserve"> in the sub-sample. Under that approach, the design weight is either: (</w:t>
      </w:r>
      <w:proofErr w:type="spellStart"/>
      <w:r w:rsidRPr="008138C7">
        <w:rPr>
          <w:sz w:val="22"/>
          <w:szCs w:val="22"/>
          <w:lang w:val="en-CA"/>
        </w:rPr>
        <w:t>i</w:t>
      </w:r>
      <w:proofErr w:type="spellEnd"/>
      <w:r w:rsidRPr="008138C7">
        <w:rPr>
          <w:sz w:val="22"/>
          <w:szCs w:val="22"/>
          <w:lang w:val="en-CA"/>
        </w:rPr>
        <w:t>) the inverse of the first phase sampling fraction for households who responded before sub-sampling, (ii) the inverse of the product of the first phase sampling fraction with the sub-sampling fraction for all households in the sub-sample or (iii) zero for the remainder of the first phase sample not selected into the sub-sample. In other words, the non-response of households not selected in the sub-sample is dealt with via two-phase weighting as in Hansen and Hurwitz theory.</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the first two approaches, donor imputation consists of randomly selecting one household out of five nearest neighbours identified from a weighted distance function of the auxiliary variables mentioned above. A larger probability of selection is given to respondents in the sub-sample than to first phase respondents in the donor list; this allows to more often </w:t>
      </w:r>
      <w:proofErr w:type="gramStart"/>
      <w:r w:rsidRPr="008138C7">
        <w:rPr>
          <w:sz w:val="22"/>
          <w:szCs w:val="22"/>
          <w:lang w:val="en-CA"/>
        </w:rPr>
        <w:t>use</w:t>
      </w:r>
      <w:proofErr w:type="gramEnd"/>
      <w:r w:rsidRPr="008138C7">
        <w:rPr>
          <w:sz w:val="22"/>
          <w:szCs w:val="22"/>
          <w:lang w:val="en-CA"/>
        </w:rPr>
        <w:t xml:space="preserve"> sub-sample respondents as donors.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The third approach, </w:t>
      </w:r>
      <w:r w:rsidRPr="008138C7">
        <w:rPr>
          <w:i/>
          <w:iCs/>
          <w:sz w:val="22"/>
          <w:szCs w:val="22"/>
          <w:lang w:val="en-CA"/>
        </w:rPr>
        <w:t>re-weighting</w:t>
      </w:r>
      <w:r w:rsidRPr="008138C7">
        <w:rPr>
          <w:sz w:val="22"/>
          <w:szCs w:val="22"/>
          <w:lang w:val="en-CA"/>
        </w:rPr>
        <w:t>, assumes that respondents in the sub-sample are the result of a probabilistic mechanism of response. Often the response probabilities are estimated via the use of Response Homogeneity Groups formed with parametric or non-parametric models of response where the auxiliary data mentioned above are the independent variables. The modelling is based only on the respondents and non-respondents selected in the sub-sample. Under that approach, the design weight is either: (</w:t>
      </w:r>
      <w:proofErr w:type="spellStart"/>
      <w:r w:rsidRPr="008138C7">
        <w:rPr>
          <w:sz w:val="22"/>
          <w:szCs w:val="22"/>
          <w:lang w:val="en-CA"/>
        </w:rPr>
        <w:t>i</w:t>
      </w:r>
      <w:proofErr w:type="spellEnd"/>
      <w:r w:rsidRPr="008138C7">
        <w:rPr>
          <w:sz w:val="22"/>
          <w:szCs w:val="22"/>
          <w:lang w:val="en-CA"/>
        </w:rPr>
        <w:t xml:space="preserve">) the inverse of the initial sampling fraction for households who responded before sub-sampling, (ii) the inverse of the product of the initial sampling fraction with the sub-sampling fraction and with an estimated propensity to respond for respondents in the sub-sample or (iii) zero for the remainder of the first phase sample not selected into the sub-sample. </w:t>
      </w:r>
    </w:p>
    <w:p w:rsidR="004E7C8C" w:rsidRPr="008138C7" w:rsidRDefault="004E7C8C" w:rsidP="004E7C8C">
      <w:pPr>
        <w:rPr>
          <w:sz w:val="22"/>
          <w:szCs w:val="22"/>
          <w:lang w:val="en-CA"/>
        </w:rPr>
      </w:pPr>
    </w:p>
    <w:p w:rsidR="008972F5" w:rsidRDefault="008972F5">
      <w:pPr>
        <w:rPr>
          <w:sz w:val="22"/>
          <w:szCs w:val="22"/>
          <w:lang w:val="en-CA"/>
        </w:rPr>
      </w:pPr>
      <w:r>
        <w:rPr>
          <w:sz w:val="22"/>
          <w:szCs w:val="22"/>
          <w:lang w:val="en-CA"/>
        </w:rPr>
        <w:br w:type="page"/>
      </w:r>
    </w:p>
    <w:p w:rsidR="004E7C8C" w:rsidRPr="008138C7" w:rsidRDefault="004E7C8C" w:rsidP="004E7C8C">
      <w:pPr>
        <w:rPr>
          <w:sz w:val="22"/>
          <w:szCs w:val="22"/>
          <w:lang w:val="en-CA"/>
        </w:rPr>
      </w:pPr>
      <w:r w:rsidRPr="008138C7">
        <w:rPr>
          <w:sz w:val="22"/>
          <w:szCs w:val="22"/>
          <w:lang w:val="en-CA"/>
        </w:rPr>
        <w:lastRenderedPageBreak/>
        <w:t>These three approaches have advantages and disadvantages. Some of these are summarized in the table below.</w:t>
      </w:r>
    </w:p>
    <w:p w:rsidR="004E7C8C" w:rsidRPr="008138C7" w:rsidRDefault="004E7C8C" w:rsidP="004E7C8C">
      <w:pPr>
        <w:rPr>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1"/>
        <w:gridCol w:w="1442"/>
        <w:gridCol w:w="1500"/>
        <w:gridCol w:w="1263"/>
      </w:tblGrid>
      <w:tr w:rsidR="004E7C8C" w:rsidRPr="008138C7" w:rsidTr="004E7C8C">
        <w:tc>
          <w:tcPr>
            <w:tcW w:w="0" w:type="auto"/>
            <w:vMerge w:val="restart"/>
            <w:vAlign w:val="center"/>
          </w:tcPr>
          <w:p w:rsidR="004E7C8C" w:rsidRPr="008138C7" w:rsidRDefault="004E7C8C" w:rsidP="004E7C8C">
            <w:pPr>
              <w:rPr>
                <w:b/>
                <w:bCs/>
                <w:sz w:val="22"/>
                <w:szCs w:val="22"/>
                <w:lang w:val="en-CA"/>
              </w:rPr>
            </w:pPr>
            <w:r w:rsidRPr="008138C7">
              <w:rPr>
                <w:b/>
                <w:bCs/>
                <w:sz w:val="22"/>
                <w:szCs w:val="22"/>
                <w:lang w:val="en-CA"/>
              </w:rPr>
              <w:t>Comparison criterion</w:t>
            </w:r>
          </w:p>
        </w:tc>
        <w:tc>
          <w:tcPr>
            <w:tcW w:w="0" w:type="auto"/>
            <w:gridSpan w:val="3"/>
          </w:tcPr>
          <w:p w:rsidR="004E7C8C" w:rsidRPr="008138C7" w:rsidRDefault="004E7C8C" w:rsidP="004E7C8C">
            <w:pPr>
              <w:jc w:val="center"/>
              <w:rPr>
                <w:b/>
                <w:bCs/>
                <w:sz w:val="22"/>
                <w:szCs w:val="22"/>
                <w:lang w:val="en-CA"/>
              </w:rPr>
            </w:pPr>
            <w:r w:rsidRPr="008138C7">
              <w:rPr>
                <w:b/>
                <w:bCs/>
                <w:sz w:val="22"/>
                <w:szCs w:val="22"/>
                <w:lang w:val="en-CA"/>
              </w:rPr>
              <w:t>Approach</w:t>
            </w:r>
          </w:p>
        </w:tc>
      </w:tr>
      <w:tr w:rsidR="004E7C8C" w:rsidRPr="008138C7" w:rsidTr="004E7C8C">
        <w:tc>
          <w:tcPr>
            <w:tcW w:w="0" w:type="auto"/>
            <w:vMerge/>
          </w:tcPr>
          <w:p w:rsidR="004E7C8C" w:rsidRPr="008138C7" w:rsidRDefault="004E7C8C" w:rsidP="004E7C8C">
            <w:pPr>
              <w:rPr>
                <w:sz w:val="22"/>
                <w:szCs w:val="22"/>
                <w:lang w:val="en-CA"/>
              </w:rPr>
            </w:pPr>
          </w:p>
        </w:tc>
        <w:tc>
          <w:tcPr>
            <w:tcW w:w="0" w:type="auto"/>
          </w:tcPr>
          <w:p w:rsidR="004E7C8C" w:rsidRPr="008138C7" w:rsidRDefault="004E7C8C" w:rsidP="004E7C8C">
            <w:pPr>
              <w:jc w:val="center"/>
              <w:rPr>
                <w:sz w:val="22"/>
                <w:szCs w:val="22"/>
                <w:lang w:val="en-CA"/>
              </w:rPr>
            </w:pPr>
            <w:r w:rsidRPr="008138C7">
              <w:rPr>
                <w:sz w:val="22"/>
                <w:szCs w:val="22"/>
                <w:lang w:val="en-CA"/>
              </w:rPr>
              <w:t>Mass imputation</w:t>
            </w:r>
          </w:p>
        </w:tc>
        <w:tc>
          <w:tcPr>
            <w:tcW w:w="0" w:type="auto"/>
          </w:tcPr>
          <w:p w:rsidR="004E7C8C" w:rsidRPr="008138C7" w:rsidRDefault="004E7C8C" w:rsidP="004E7C8C">
            <w:pPr>
              <w:jc w:val="center"/>
              <w:rPr>
                <w:sz w:val="22"/>
                <w:szCs w:val="22"/>
                <w:lang w:val="en-CA"/>
              </w:rPr>
            </w:pPr>
            <w:r w:rsidRPr="008138C7">
              <w:rPr>
                <w:sz w:val="22"/>
                <w:szCs w:val="22"/>
                <w:lang w:val="en-CA"/>
              </w:rPr>
              <w:t>Partial imputation</w:t>
            </w:r>
          </w:p>
        </w:tc>
        <w:tc>
          <w:tcPr>
            <w:tcW w:w="0" w:type="auto"/>
          </w:tcPr>
          <w:p w:rsidR="004E7C8C" w:rsidRPr="008138C7" w:rsidRDefault="004E7C8C" w:rsidP="004E7C8C">
            <w:pPr>
              <w:jc w:val="center"/>
              <w:rPr>
                <w:sz w:val="22"/>
                <w:szCs w:val="22"/>
                <w:lang w:val="en-CA"/>
              </w:rPr>
            </w:pPr>
            <w:r w:rsidRPr="008138C7">
              <w:rPr>
                <w:sz w:val="22"/>
                <w:szCs w:val="22"/>
                <w:lang w:val="en-CA"/>
              </w:rPr>
              <w:t>Re-weighting</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 xml:space="preserve">Preserves census </w:t>
            </w:r>
            <w:r>
              <w:rPr>
                <w:sz w:val="22"/>
                <w:szCs w:val="22"/>
                <w:lang w:val="en-CA"/>
              </w:rPr>
              <w:t>micro-</w:t>
            </w:r>
            <w:r w:rsidRPr="008138C7">
              <w:rPr>
                <w:sz w:val="22"/>
                <w:szCs w:val="22"/>
                <w:lang w:val="en-CA"/>
              </w:rPr>
              <w:t>data of non-respondents (e.g. mother tongue)</w:t>
            </w:r>
          </w:p>
        </w:tc>
        <w:tc>
          <w:tcPr>
            <w:tcW w:w="0" w:type="auto"/>
            <w:vAlign w:val="center"/>
          </w:tcPr>
          <w:p w:rsidR="004E7C8C" w:rsidRPr="008138C7" w:rsidRDefault="004E7C8C" w:rsidP="004E7C8C">
            <w:pPr>
              <w:jc w:val="center"/>
              <w:rPr>
                <w:outline/>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 xml:space="preserve">Preserves joint distributions of census and non-census </w:t>
            </w:r>
            <w:r>
              <w:rPr>
                <w:sz w:val="22"/>
                <w:szCs w:val="22"/>
                <w:lang w:val="en-CA"/>
              </w:rPr>
              <w:t>micro-</w:t>
            </w:r>
            <w:r w:rsidRPr="008138C7">
              <w:rPr>
                <w:sz w:val="22"/>
                <w:szCs w:val="22"/>
                <w:lang w:val="en-CA"/>
              </w:rPr>
              <w:t>data (e.g. family structure and revenue of members)</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More design based robustness</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Ease of implementation – generic system available</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Calibration of smaller areas</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Smaller sampling error</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r>
      <w:tr w:rsidR="004E7C8C" w:rsidRPr="008138C7" w:rsidTr="004E7C8C">
        <w:tc>
          <w:tcPr>
            <w:tcW w:w="0" w:type="auto"/>
            <w:vAlign w:val="center"/>
          </w:tcPr>
          <w:p w:rsidR="004E7C8C" w:rsidRPr="008138C7" w:rsidRDefault="004E7C8C" w:rsidP="004E7C8C">
            <w:pPr>
              <w:rPr>
                <w:sz w:val="22"/>
                <w:szCs w:val="22"/>
                <w:lang w:val="en-CA"/>
              </w:rPr>
            </w:pPr>
            <w:r w:rsidRPr="008138C7">
              <w:rPr>
                <w:sz w:val="22"/>
                <w:szCs w:val="22"/>
                <w:lang w:val="en-CA"/>
              </w:rPr>
              <w:t>Smaller contribution of non-response adjustment to estimates</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c>
          <w:tcPr>
            <w:tcW w:w="0" w:type="auto"/>
            <w:vAlign w:val="center"/>
          </w:tcPr>
          <w:p w:rsidR="004E7C8C" w:rsidRPr="008138C7" w:rsidRDefault="004E7C8C" w:rsidP="004E7C8C">
            <w:pPr>
              <w:jc w:val="center"/>
              <w:rPr>
                <w:sz w:val="22"/>
                <w:szCs w:val="22"/>
                <w:lang w:val="en-CA"/>
              </w:rPr>
            </w:pPr>
            <w:r w:rsidRPr="008138C7">
              <w:rPr>
                <w:outline/>
                <w:sz w:val="22"/>
                <w:szCs w:val="22"/>
                <w:lang w:val="en-CA"/>
              </w:rPr>
              <w:t>+</w:t>
            </w:r>
          </w:p>
        </w:tc>
      </w:tr>
    </w:tbl>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Empirical Study</w:t>
      </w:r>
    </w:p>
    <w:p w:rsidR="004E7C8C" w:rsidRPr="008138C7" w:rsidRDefault="004E7C8C" w:rsidP="004E7C8C">
      <w:pPr>
        <w:rPr>
          <w:sz w:val="22"/>
          <w:szCs w:val="22"/>
          <w:lang w:val="en-CA"/>
        </w:rPr>
      </w:pPr>
      <w:r w:rsidRPr="008138C7">
        <w:rPr>
          <w:sz w:val="22"/>
          <w:szCs w:val="22"/>
          <w:lang w:val="en-CA"/>
        </w:rPr>
        <w:t>An empirical study was conducted in 2011 which compared the three non-response adjustment approaches described above for 84 non-census characteristics</w:t>
      </w:r>
      <w:r w:rsidR="00F42DBB">
        <w:rPr>
          <w:sz w:val="22"/>
          <w:szCs w:val="22"/>
          <w:lang w:val="en-CA"/>
        </w:rPr>
        <w:t xml:space="preserve"> (see Verret, 2011)</w:t>
      </w:r>
      <w:r w:rsidRPr="008138C7">
        <w:rPr>
          <w:sz w:val="22"/>
          <w:szCs w:val="22"/>
          <w:lang w:val="en-CA"/>
        </w:rPr>
        <w:t>. For the three approaches, the design weights were adjusted with a calibration step using census counts as control totals. The set-up of the study included the use of 2006 Census 20% long form sample data only for the Census Metropolitan Area (CMA) of Toronto. Based on the planning assumptions, a response rate of 37% was assumed to the first phase sample before sub-sampling. The first phase respondents were assumed to be the households who first responded in 2006. Among the 63% first phase non-respondents a stratified systematic sample was selected at a rate of 41%. The response rate for the sub-sample was assumed 78%.  The second phase respondents were assumed to be the households who first responded in 2006 after the first phase respondents.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the imputation approaches, the nearest-neighbour imputation was done with the Canadian Census Edit and Imputation System (CANCEIS). Donors could only be selected within groups of same household size. The distance between non-respondents and donors (respondents) was defined by weighting each auxiliary household-level and person-level </w:t>
      </w:r>
      <w:proofErr w:type="gramStart"/>
      <w:r w:rsidRPr="008138C7">
        <w:rPr>
          <w:sz w:val="22"/>
          <w:szCs w:val="22"/>
          <w:lang w:val="en-CA"/>
        </w:rPr>
        <w:t xml:space="preserve">variable as well as </w:t>
      </w:r>
      <w:proofErr w:type="spellStart"/>
      <w:r w:rsidRPr="008138C7">
        <w:rPr>
          <w:sz w:val="22"/>
          <w:szCs w:val="22"/>
          <w:lang w:val="en-CA"/>
        </w:rPr>
        <w:t>paradata</w:t>
      </w:r>
      <w:proofErr w:type="spellEnd"/>
      <w:r w:rsidRPr="008138C7">
        <w:rPr>
          <w:sz w:val="22"/>
          <w:szCs w:val="22"/>
          <w:lang w:val="en-CA"/>
        </w:rPr>
        <w:t xml:space="preserve"> in the distance function</w:t>
      </w:r>
      <w:proofErr w:type="gramEnd"/>
      <w:r w:rsidRPr="008138C7">
        <w:rPr>
          <w:sz w:val="22"/>
          <w:szCs w:val="22"/>
          <w:lang w:val="en-CA"/>
        </w:rPr>
        <w:t>. Preference was given to donors who are geographically close. For each non-respondent, a list of five donors was created based on the distance function and one was randomly selected.</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For the re-weighting approach, the scores method was used. It was based on a single logistic regression for the whole CMA of Toronto. The regression used a stepwise selection with the auxiliary variables at the household level and some at person level as well as one </w:t>
      </w:r>
      <w:proofErr w:type="spellStart"/>
      <w:r w:rsidRPr="008138C7">
        <w:rPr>
          <w:sz w:val="22"/>
          <w:szCs w:val="22"/>
          <w:lang w:val="en-CA"/>
        </w:rPr>
        <w:t>paradata</w:t>
      </w:r>
      <w:proofErr w:type="spellEnd"/>
      <w:r w:rsidRPr="008138C7">
        <w:rPr>
          <w:sz w:val="22"/>
          <w:szCs w:val="22"/>
          <w:lang w:val="en-CA"/>
        </w:rPr>
        <w:t xml:space="preserve"> variable (i.e. channel of response used in the 2006 Census). The R-square of the regression was 30%. Re-weighting was conducted within thirteen Response Homogeneity Groups formed with household predicted response probabilities ranging from 29% to 95%. </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To compare the three approaches some statistics at the CMA level and the weighting area (WA) level were calculated. For the 2006 Census, a WA is a neighbourhood of around 1,900 dwellings, of which 380 in the 20% sample, and is used for the calibration of weights such that sample estimates are equal to census counts for various characteristics.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The first statistic calculated was the average absolute value of the relative difference between the adjusted estimated total and the 2006 estimated total, denoted as</w:t>
      </w:r>
    </w:p>
    <w:p w:rsidR="004E7C8C" w:rsidRPr="008138C7" w:rsidRDefault="000304C6" w:rsidP="004E7C8C">
      <w:pPr>
        <w:jc w:val="center"/>
        <w:rPr>
          <w:sz w:val="22"/>
          <w:szCs w:val="22"/>
          <w:lang w:val="en-CA"/>
        </w:rPr>
      </w:pPr>
      <w:r>
        <w:rPr>
          <w:noProof/>
          <w:sz w:val="22"/>
          <w:szCs w:val="22"/>
          <w:lang w:val="fr-CA"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8.05pt;margin-top:1pt;width:85pt;height:40pt;z-index:251661312">
            <v:imagedata r:id="rId8" o:title=""/>
          </v:shape>
          <o:OLEObject Type="Embed" ProgID="Equation.DSMT4" ShapeID="_x0000_s1027" DrawAspect="Content" ObjectID="_1406116569" r:id="rId9"/>
        </w:pict>
      </w:r>
    </w:p>
    <w:p w:rsidR="004E7C8C" w:rsidRPr="008138C7" w:rsidRDefault="004E7C8C" w:rsidP="004E7C8C">
      <w:pPr>
        <w:rPr>
          <w:sz w:val="22"/>
          <w:szCs w:val="22"/>
          <w:lang w:val="en-CA"/>
        </w:rPr>
      </w:pPr>
      <w:r w:rsidRPr="008138C7">
        <w:rPr>
          <w:sz w:val="22"/>
          <w:szCs w:val="22"/>
          <w:lang w:val="en-CA"/>
        </w:rPr>
        <w:tab/>
      </w:r>
      <w:r w:rsidRPr="008138C7">
        <w:rPr>
          <w:sz w:val="22"/>
          <w:szCs w:val="22"/>
          <w:lang w:val="en-CA"/>
        </w:rPr>
        <w:tab/>
      </w:r>
      <w:r w:rsidRPr="008138C7">
        <w:rPr>
          <w:sz w:val="22"/>
          <w:szCs w:val="22"/>
          <w:lang w:val="en-CA"/>
        </w:rPr>
        <w:tab/>
      </w:r>
      <w:r w:rsidRPr="008138C7">
        <w:rPr>
          <w:sz w:val="22"/>
          <w:szCs w:val="22"/>
          <w:lang w:val="en-CA"/>
        </w:rPr>
        <w:tab/>
      </w:r>
      <w:r w:rsidRPr="008138C7">
        <w:rPr>
          <w:i/>
          <w:iCs/>
          <w:sz w:val="22"/>
          <w:szCs w:val="22"/>
          <w:lang w:val="en-CA"/>
        </w:rPr>
        <w:t>AAVRD</w:t>
      </w:r>
      <w:r w:rsidRPr="008138C7">
        <w:rPr>
          <w:i/>
          <w:iCs/>
          <w:sz w:val="22"/>
          <w:szCs w:val="22"/>
          <w:vertAlign w:val="subscript"/>
          <w:lang w:val="en-CA"/>
        </w:rPr>
        <w:t>2006</w:t>
      </w:r>
      <w:r w:rsidRPr="008138C7">
        <w:rPr>
          <w:sz w:val="22"/>
          <w:szCs w:val="22"/>
          <w:lang w:val="en-CA"/>
        </w:rPr>
        <w:t xml:space="preserve"> =</w:t>
      </w:r>
    </w:p>
    <w:p w:rsidR="004E7C8C" w:rsidRPr="008138C7" w:rsidRDefault="004E7C8C" w:rsidP="004E7C8C">
      <w:pPr>
        <w:jc w:val="center"/>
        <w:rPr>
          <w:sz w:val="22"/>
          <w:szCs w:val="22"/>
          <w:lang w:val="en-CA"/>
        </w:rPr>
      </w:pP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lastRenderedPageBreak/>
        <w:t>This statistic at the CMA level was averaged over the 84 non-census characteristics and, at the WA level, it was averaged over the 84 non-census characteristics as well as over the 953 WAs.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i/>
          <w:iCs/>
          <w:sz w:val="22"/>
          <w:szCs w:val="22"/>
          <w:lang w:val="en-CA"/>
        </w:rPr>
        <w:t>AAVRD</w:t>
      </w:r>
      <w:r w:rsidRPr="008138C7">
        <w:rPr>
          <w:i/>
          <w:iCs/>
          <w:sz w:val="22"/>
          <w:szCs w:val="22"/>
          <w:vertAlign w:val="subscript"/>
          <w:lang w:val="en-CA"/>
        </w:rPr>
        <w:t>2006</w:t>
      </w:r>
      <w:r w:rsidRPr="008138C7">
        <w:rPr>
          <w:sz w:val="22"/>
          <w:szCs w:val="22"/>
          <w:lang w:val="en-CA"/>
        </w:rPr>
        <w:t xml:space="preserve"> reflects the confounded effect of two types of error: the non-response adjustment residual error, which generally has a bias and a variance, and the sub-sampling error. For mass imputation, the set-up of the study does not allow a decomposition of the two error types. However, it is possible to do this decomposition for partial imputation and re-weighting given that the Hansen-Hurwitz estimated total can be calculated (i.e. the estimated total for the two-phase sample with 100% response in the sub-sample). This lead to the calculation of the second statistic, the average absolute value of the relative difference between the adjusted estimated total and the Hansen-Hurwitz estimated total denoted as</w:t>
      </w:r>
    </w:p>
    <w:p w:rsidR="004E7C8C" w:rsidRPr="008138C7" w:rsidRDefault="000304C6" w:rsidP="004E7C8C">
      <w:pPr>
        <w:rPr>
          <w:sz w:val="22"/>
          <w:szCs w:val="22"/>
          <w:lang w:val="en-CA"/>
        </w:rPr>
      </w:pPr>
      <w:r>
        <w:rPr>
          <w:noProof/>
          <w:sz w:val="22"/>
          <w:szCs w:val="22"/>
          <w:lang w:val="fr-CA" w:eastAsia="fr-CA"/>
        </w:rPr>
        <w:pict>
          <v:shape id="_x0000_s1026" type="#_x0000_t75" style="position:absolute;margin-left:202.35pt;margin-top:1.7pt;width:78.95pt;height:40pt;z-index:251660288">
            <v:imagedata r:id="rId10" o:title=""/>
          </v:shape>
          <o:OLEObject Type="Embed" ProgID="Equation.DSMT4" ShapeID="_x0000_s1026" DrawAspect="Content" ObjectID="_1406116570" r:id="rId11"/>
        </w:pict>
      </w:r>
    </w:p>
    <w:p w:rsidR="004E7C8C" w:rsidRPr="008138C7" w:rsidRDefault="004E7C8C" w:rsidP="004E7C8C">
      <w:pPr>
        <w:rPr>
          <w:sz w:val="22"/>
          <w:szCs w:val="22"/>
          <w:lang w:val="en-CA"/>
        </w:rPr>
      </w:pPr>
      <w:r w:rsidRPr="008138C7">
        <w:rPr>
          <w:sz w:val="22"/>
          <w:szCs w:val="22"/>
          <w:lang w:val="en-CA"/>
        </w:rPr>
        <w:tab/>
      </w:r>
      <w:r w:rsidRPr="008138C7">
        <w:rPr>
          <w:sz w:val="22"/>
          <w:szCs w:val="22"/>
          <w:lang w:val="en-CA"/>
        </w:rPr>
        <w:tab/>
      </w:r>
      <w:r w:rsidRPr="008138C7">
        <w:rPr>
          <w:sz w:val="22"/>
          <w:szCs w:val="22"/>
          <w:lang w:val="en-CA"/>
        </w:rPr>
        <w:tab/>
      </w:r>
      <w:r w:rsidRPr="008138C7">
        <w:rPr>
          <w:sz w:val="22"/>
          <w:szCs w:val="22"/>
          <w:lang w:val="en-CA"/>
        </w:rPr>
        <w:tab/>
      </w:r>
      <w:proofErr w:type="gramStart"/>
      <w:r w:rsidRPr="008138C7">
        <w:rPr>
          <w:i/>
          <w:iCs/>
          <w:sz w:val="22"/>
          <w:szCs w:val="22"/>
          <w:lang w:val="en-CA"/>
        </w:rPr>
        <w:t>AAVRD</w:t>
      </w:r>
      <w:r w:rsidRPr="008138C7">
        <w:rPr>
          <w:i/>
          <w:iCs/>
          <w:sz w:val="22"/>
          <w:szCs w:val="22"/>
          <w:vertAlign w:val="subscript"/>
          <w:lang w:val="en-CA"/>
        </w:rPr>
        <w:t>HH</w:t>
      </w:r>
      <w:r w:rsidRPr="008138C7">
        <w:rPr>
          <w:sz w:val="22"/>
          <w:szCs w:val="22"/>
          <w:lang w:val="en-CA"/>
        </w:rPr>
        <w:t xml:space="preserve">  =</w:t>
      </w:r>
      <w:proofErr w:type="gramEnd"/>
    </w:p>
    <w:p w:rsidR="004E7C8C" w:rsidRPr="008138C7" w:rsidRDefault="004E7C8C" w:rsidP="004E7C8C">
      <w:pPr>
        <w:rPr>
          <w:sz w:val="22"/>
          <w:szCs w:val="22"/>
          <w:lang w:val="en-CA"/>
        </w:rPr>
      </w:pPr>
    </w:p>
    <w:p w:rsidR="004E7C8C" w:rsidRPr="008138C7" w:rsidRDefault="004E7C8C" w:rsidP="004E7C8C">
      <w:pPr>
        <w:rPr>
          <w:sz w:val="22"/>
          <w:szCs w:val="22"/>
          <w:lang w:val="en-CA"/>
        </w:rPr>
      </w:pPr>
    </w:p>
    <w:p w:rsidR="004E7C8C" w:rsidRPr="008138C7" w:rsidRDefault="004E7C8C" w:rsidP="004E7C8C">
      <w:pPr>
        <w:rPr>
          <w:sz w:val="22"/>
          <w:szCs w:val="22"/>
          <w:lang w:val="en-CA"/>
        </w:rPr>
      </w:pPr>
      <w:proofErr w:type="gramStart"/>
      <w:r w:rsidRPr="008138C7">
        <w:rPr>
          <w:i/>
          <w:iCs/>
          <w:sz w:val="22"/>
          <w:szCs w:val="22"/>
          <w:lang w:val="en-CA"/>
        </w:rPr>
        <w:t>AAVRD</w:t>
      </w:r>
      <w:r w:rsidRPr="008138C7">
        <w:rPr>
          <w:i/>
          <w:iCs/>
          <w:sz w:val="22"/>
          <w:szCs w:val="22"/>
          <w:vertAlign w:val="subscript"/>
          <w:lang w:val="en-CA"/>
        </w:rPr>
        <w:t>HH</w:t>
      </w:r>
      <w:r w:rsidRPr="008138C7">
        <w:rPr>
          <w:sz w:val="22"/>
          <w:szCs w:val="22"/>
          <w:lang w:val="en-CA"/>
        </w:rPr>
        <w:t xml:space="preserve">  reflects</w:t>
      </w:r>
      <w:proofErr w:type="gramEnd"/>
      <w:r w:rsidRPr="008138C7">
        <w:rPr>
          <w:sz w:val="22"/>
          <w:szCs w:val="22"/>
          <w:lang w:val="en-CA"/>
        </w:rPr>
        <w:t xml:space="preserve"> the residual error after non-response adjustment which is a key measure of data quality in the current context of minimising the risk of bias due to unit non-response. This statistic is averaged in the same way as </w:t>
      </w:r>
      <w:r w:rsidRPr="008138C7">
        <w:rPr>
          <w:i/>
          <w:iCs/>
          <w:sz w:val="22"/>
          <w:szCs w:val="22"/>
          <w:lang w:val="en-CA"/>
        </w:rPr>
        <w:t>AAVRD</w:t>
      </w:r>
      <w:r w:rsidRPr="008138C7">
        <w:rPr>
          <w:i/>
          <w:iCs/>
          <w:sz w:val="22"/>
          <w:szCs w:val="22"/>
          <w:vertAlign w:val="subscript"/>
          <w:lang w:val="en-CA"/>
        </w:rPr>
        <w:t>2006</w:t>
      </w:r>
      <w:r w:rsidRPr="008138C7">
        <w:rPr>
          <w:sz w:val="22"/>
          <w:szCs w:val="22"/>
          <w:lang w:val="en-CA"/>
        </w:rPr>
        <w:t>.</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Here are the results of the Toronto CMA study:</w:t>
      </w:r>
    </w:p>
    <w:p w:rsidR="004E7C8C" w:rsidRPr="008138C7" w:rsidRDefault="004E7C8C" w:rsidP="004E7C8C">
      <w:pPr>
        <w:rPr>
          <w:sz w:val="22"/>
          <w:szCs w:val="22"/>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1224"/>
        <w:gridCol w:w="1078"/>
        <w:gridCol w:w="1224"/>
        <w:gridCol w:w="1078"/>
      </w:tblGrid>
      <w:tr w:rsidR="004E7C8C" w:rsidRPr="008138C7" w:rsidTr="004E7C8C">
        <w:trPr>
          <w:jc w:val="center"/>
        </w:trPr>
        <w:tc>
          <w:tcPr>
            <w:tcW w:w="0" w:type="auto"/>
            <w:vMerge w:val="restart"/>
            <w:vAlign w:val="center"/>
          </w:tcPr>
          <w:p w:rsidR="004E7C8C" w:rsidRPr="008138C7" w:rsidRDefault="004E7C8C" w:rsidP="004E7C8C">
            <w:pPr>
              <w:rPr>
                <w:b/>
                <w:bCs/>
                <w:sz w:val="22"/>
                <w:szCs w:val="22"/>
                <w:lang w:val="en-CA"/>
              </w:rPr>
            </w:pPr>
            <w:r w:rsidRPr="008138C7">
              <w:rPr>
                <w:b/>
                <w:bCs/>
                <w:sz w:val="22"/>
                <w:szCs w:val="22"/>
                <w:lang w:val="en-CA"/>
              </w:rPr>
              <w:t>Adjustment approach</w:t>
            </w:r>
          </w:p>
        </w:tc>
        <w:tc>
          <w:tcPr>
            <w:tcW w:w="0" w:type="auto"/>
            <w:gridSpan w:val="2"/>
            <w:vAlign w:val="center"/>
          </w:tcPr>
          <w:p w:rsidR="004E7C8C" w:rsidRPr="008138C7" w:rsidRDefault="004E7C8C" w:rsidP="004E7C8C">
            <w:pPr>
              <w:jc w:val="center"/>
              <w:rPr>
                <w:b/>
                <w:bCs/>
                <w:sz w:val="22"/>
                <w:szCs w:val="22"/>
                <w:lang w:val="en-CA"/>
              </w:rPr>
            </w:pPr>
            <w:r w:rsidRPr="008138C7">
              <w:rPr>
                <w:b/>
                <w:bCs/>
                <w:i/>
                <w:iCs/>
                <w:sz w:val="22"/>
                <w:szCs w:val="22"/>
                <w:lang w:val="en-CA"/>
              </w:rPr>
              <w:t>AAVRD</w:t>
            </w:r>
            <w:r w:rsidRPr="008138C7">
              <w:rPr>
                <w:b/>
                <w:bCs/>
                <w:i/>
                <w:iCs/>
                <w:sz w:val="22"/>
                <w:szCs w:val="22"/>
                <w:vertAlign w:val="subscript"/>
                <w:lang w:val="en-CA"/>
              </w:rPr>
              <w:t>2006</w:t>
            </w:r>
            <w:r w:rsidRPr="008138C7">
              <w:rPr>
                <w:b/>
                <w:bCs/>
                <w:sz w:val="22"/>
                <w:szCs w:val="22"/>
                <w:lang w:val="en-CA"/>
              </w:rPr>
              <w:t xml:space="preserve"> in %</w:t>
            </w:r>
          </w:p>
          <w:p w:rsidR="004E7C8C" w:rsidRPr="008138C7" w:rsidRDefault="004E7C8C" w:rsidP="004E7C8C">
            <w:pPr>
              <w:jc w:val="center"/>
              <w:rPr>
                <w:b/>
                <w:bCs/>
                <w:sz w:val="22"/>
                <w:szCs w:val="22"/>
                <w:lang w:val="en-CA"/>
              </w:rPr>
            </w:pPr>
            <w:r w:rsidRPr="008138C7">
              <w:rPr>
                <w:b/>
                <w:bCs/>
                <w:sz w:val="22"/>
                <w:szCs w:val="22"/>
                <w:lang w:val="en-CA"/>
              </w:rPr>
              <w:t xml:space="preserve">(Residual Error + </w:t>
            </w:r>
          </w:p>
          <w:p w:rsidR="004E7C8C" w:rsidRPr="008138C7" w:rsidRDefault="004E7C8C" w:rsidP="004E7C8C">
            <w:pPr>
              <w:jc w:val="center"/>
              <w:rPr>
                <w:b/>
                <w:bCs/>
                <w:sz w:val="22"/>
                <w:szCs w:val="22"/>
                <w:lang w:val="en-CA"/>
              </w:rPr>
            </w:pPr>
            <w:r w:rsidRPr="008138C7">
              <w:rPr>
                <w:b/>
                <w:bCs/>
                <w:sz w:val="22"/>
                <w:szCs w:val="22"/>
                <w:lang w:val="en-CA"/>
              </w:rPr>
              <w:t>Sub-sampling Error)</w:t>
            </w:r>
          </w:p>
        </w:tc>
        <w:tc>
          <w:tcPr>
            <w:tcW w:w="0" w:type="auto"/>
            <w:gridSpan w:val="2"/>
          </w:tcPr>
          <w:p w:rsidR="004E7C8C" w:rsidRPr="008138C7" w:rsidRDefault="004E7C8C" w:rsidP="004E7C8C">
            <w:pPr>
              <w:jc w:val="center"/>
              <w:rPr>
                <w:b/>
                <w:bCs/>
                <w:sz w:val="22"/>
                <w:szCs w:val="22"/>
                <w:lang w:val="en-CA"/>
              </w:rPr>
            </w:pPr>
            <w:r w:rsidRPr="008138C7">
              <w:rPr>
                <w:b/>
                <w:bCs/>
                <w:i/>
                <w:iCs/>
                <w:sz w:val="22"/>
                <w:szCs w:val="22"/>
                <w:lang w:val="en-CA"/>
              </w:rPr>
              <w:t>AAVRD</w:t>
            </w:r>
            <w:r w:rsidRPr="008138C7">
              <w:rPr>
                <w:b/>
                <w:bCs/>
                <w:i/>
                <w:iCs/>
                <w:sz w:val="22"/>
                <w:szCs w:val="22"/>
                <w:vertAlign w:val="subscript"/>
                <w:lang w:val="en-CA"/>
              </w:rPr>
              <w:t>HH</w:t>
            </w:r>
            <w:r w:rsidRPr="008138C7">
              <w:rPr>
                <w:b/>
                <w:bCs/>
                <w:sz w:val="22"/>
                <w:szCs w:val="22"/>
                <w:lang w:val="en-CA"/>
              </w:rPr>
              <w:t xml:space="preserve"> in %</w:t>
            </w:r>
          </w:p>
          <w:p w:rsidR="004E7C8C" w:rsidRPr="008138C7" w:rsidRDefault="004E7C8C" w:rsidP="004E7C8C">
            <w:pPr>
              <w:jc w:val="center"/>
              <w:rPr>
                <w:b/>
                <w:bCs/>
                <w:sz w:val="22"/>
                <w:szCs w:val="22"/>
                <w:lang w:val="en-CA"/>
              </w:rPr>
            </w:pPr>
            <w:r w:rsidRPr="008138C7">
              <w:rPr>
                <w:b/>
                <w:bCs/>
                <w:sz w:val="22"/>
                <w:szCs w:val="22"/>
                <w:lang w:val="en-CA"/>
              </w:rPr>
              <w:t>(Residual Error)</w:t>
            </w:r>
          </w:p>
        </w:tc>
      </w:tr>
      <w:tr w:rsidR="004E7C8C" w:rsidRPr="008138C7" w:rsidTr="004E7C8C">
        <w:trPr>
          <w:jc w:val="center"/>
        </w:trPr>
        <w:tc>
          <w:tcPr>
            <w:tcW w:w="0" w:type="auto"/>
            <w:vMerge/>
            <w:vAlign w:val="center"/>
          </w:tcPr>
          <w:p w:rsidR="004E7C8C" w:rsidRPr="008138C7" w:rsidRDefault="004E7C8C" w:rsidP="004E7C8C">
            <w:pPr>
              <w:rPr>
                <w:b/>
                <w:bCs/>
                <w:sz w:val="22"/>
                <w:szCs w:val="22"/>
                <w:lang w:val="en-CA"/>
              </w:rPr>
            </w:pPr>
          </w:p>
        </w:tc>
        <w:tc>
          <w:tcPr>
            <w:tcW w:w="0" w:type="auto"/>
            <w:vAlign w:val="center"/>
          </w:tcPr>
          <w:p w:rsidR="004E7C8C" w:rsidRPr="008138C7" w:rsidRDefault="004E7C8C" w:rsidP="004E7C8C">
            <w:pPr>
              <w:jc w:val="center"/>
              <w:rPr>
                <w:b/>
                <w:bCs/>
                <w:sz w:val="22"/>
                <w:szCs w:val="22"/>
                <w:lang w:val="en-CA"/>
              </w:rPr>
            </w:pPr>
            <w:r w:rsidRPr="008138C7">
              <w:rPr>
                <w:b/>
                <w:bCs/>
                <w:sz w:val="22"/>
                <w:szCs w:val="22"/>
                <w:lang w:val="en-CA"/>
              </w:rPr>
              <w:t>CMA level</w:t>
            </w:r>
          </w:p>
        </w:tc>
        <w:tc>
          <w:tcPr>
            <w:tcW w:w="0" w:type="auto"/>
            <w:vAlign w:val="center"/>
          </w:tcPr>
          <w:p w:rsidR="004E7C8C" w:rsidRPr="008138C7" w:rsidRDefault="004E7C8C" w:rsidP="004E7C8C">
            <w:pPr>
              <w:jc w:val="center"/>
              <w:rPr>
                <w:b/>
                <w:bCs/>
                <w:sz w:val="22"/>
                <w:szCs w:val="22"/>
                <w:lang w:val="en-CA"/>
              </w:rPr>
            </w:pPr>
            <w:r w:rsidRPr="008138C7">
              <w:rPr>
                <w:b/>
                <w:bCs/>
                <w:sz w:val="22"/>
                <w:szCs w:val="22"/>
                <w:lang w:val="en-CA"/>
              </w:rPr>
              <w:t>WA level</w:t>
            </w:r>
          </w:p>
        </w:tc>
        <w:tc>
          <w:tcPr>
            <w:tcW w:w="0" w:type="auto"/>
            <w:vAlign w:val="center"/>
          </w:tcPr>
          <w:p w:rsidR="004E7C8C" w:rsidRPr="008138C7" w:rsidRDefault="004E7C8C" w:rsidP="004E7C8C">
            <w:pPr>
              <w:jc w:val="center"/>
              <w:rPr>
                <w:b/>
                <w:bCs/>
                <w:sz w:val="22"/>
                <w:szCs w:val="22"/>
                <w:lang w:val="en-CA"/>
              </w:rPr>
            </w:pPr>
            <w:r w:rsidRPr="008138C7">
              <w:rPr>
                <w:b/>
                <w:bCs/>
                <w:sz w:val="22"/>
                <w:szCs w:val="22"/>
                <w:lang w:val="en-CA"/>
              </w:rPr>
              <w:t>CMA level</w:t>
            </w:r>
          </w:p>
        </w:tc>
        <w:tc>
          <w:tcPr>
            <w:tcW w:w="0" w:type="auto"/>
            <w:vAlign w:val="center"/>
          </w:tcPr>
          <w:p w:rsidR="004E7C8C" w:rsidRPr="008138C7" w:rsidRDefault="004E7C8C" w:rsidP="004E7C8C">
            <w:pPr>
              <w:jc w:val="center"/>
              <w:rPr>
                <w:b/>
                <w:bCs/>
                <w:sz w:val="22"/>
                <w:szCs w:val="22"/>
                <w:lang w:val="en-CA"/>
              </w:rPr>
            </w:pPr>
            <w:r w:rsidRPr="008138C7">
              <w:rPr>
                <w:b/>
                <w:bCs/>
                <w:sz w:val="22"/>
                <w:szCs w:val="22"/>
                <w:lang w:val="en-CA"/>
              </w:rPr>
              <w:t>WA level</w:t>
            </w:r>
          </w:p>
        </w:tc>
      </w:tr>
      <w:tr w:rsidR="004E7C8C" w:rsidRPr="008138C7" w:rsidTr="004E7C8C">
        <w:trPr>
          <w:jc w:val="center"/>
        </w:trPr>
        <w:tc>
          <w:tcPr>
            <w:tcW w:w="0" w:type="auto"/>
            <w:vAlign w:val="center"/>
          </w:tcPr>
          <w:p w:rsidR="004E7C8C" w:rsidRPr="008138C7" w:rsidRDefault="004E7C8C" w:rsidP="004E7C8C">
            <w:pPr>
              <w:rPr>
                <w:b/>
                <w:bCs/>
                <w:sz w:val="22"/>
                <w:szCs w:val="22"/>
                <w:lang w:val="en-CA"/>
              </w:rPr>
            </w:pPr>
            <w:r w:rsidRPr="008138C7">
              <w:rPr>
                <w:b/>
                <w:bCs/>
                <w:sz w:val="22"/>
                <w:szCs w:val="22"/>
                <w:lang w:val="en-CA"/>
              </w:rPr>
              <w:t>Mass imputation</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2.97</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24.56</w:t>
            </w:r>
          </w:p>
        </w:tc>
        <w:tc>
          <w:tcPr>
            <w:tcW w:w="0" w:type="auto"/>
          </w:tcPr>
          <w:p w:rsidR="004E7C8C" w:rsidRPr="008138C7" w:rsidRDefault="004E7C8C" w:rsidP="004E7C8C">
            <w:pPr>
              <w:jc w:val="center"/>
              <w:rPr>
                <w:sz w:val="22"/>
                <w:szCs w:val="22"/>
                <w:lang w:val="en-CA"/>
              </w:rPr>
            </w:pPr>
            <w:proofErr w:type="spellStart"/>
            <w:r w:rsidRPr="008138C7">
              <w:rPr>
                <w:sz w:val="22"/>
                <w:szCs w:val="22"/>
                <w:lang w:val="en-CA"/>
              </w:rPr>
              <w:t>n.a</w:t>
            </w:r>
            <w:proofErr w:type="spellEnd"/>
            <w:r w:rsidRPr="008138C7">
              <w:rPr>
                <w:sz w:val="22"/>
                <w:szCs w:val="22"/>
                <w:lang w:val="en-CA"/>
              </w:rPr>
              <w:t>.</w:t>
            </w:r>
          </w:p>
        </w:tc>
        <w:tc>
          <w:tcPr>
            <w:tcW w:w="0" w:type="auto"/>
          </w:tcPr>
          <w:p w:rsidR="004E7C8C" w:rsidRPr="008138C7" w:rsidRDefault="004E7C8C" w:rsidP="004E7C8C">
            <w:pPr>
              <w:jc w:val="center"/>
              <w:rPr>
                <w:sz w:val="22"/>
                <w:szCs w:val="22"/>
                <w:lang w:val="en-CA"/>
              </w:rPr>
            </w:pPr>
            <w:proofErr w:type="spellStart"/>
            <w:r w:rsidRPr="008138C7">
              <w:rPr>
                <w:sz w:val="22"/>
                <w:szCs w:val="22"/>
                <w:lang w:val="en-CA"/>
              </w:rPr>
              <w:t>n.a</w:t>
            </w:r>
            <w:proofErr w:type="spellEnd"/>
            <w:r w:rsidRPr="008138C7">
              <w:rPr>
                <w:sz w:val="22"/>
                <w:szCs w:val="22"/>
                <w:lang w:val="en-CA"/>
              </w:rPr>
              <w:t>.</w:t>
            </w:r>
          </w:p>
        </w:tc>
      </w:tr>
      <w:tr w:rsidR="004E7C8C" w:rsidRPr="008138C7" w:rsidTr="004E7C8C">
        <w:trPr>
          <w:jc w:val="center"/>
        </w:trPr>
        <w:tc>
          <w:tcPr>
            <w:tcW w:w="0" w:type="auto"/>
            <w:vAlign w:val="center"/>
          </w:tcPr>
          <w:p w:rsidR="004E7C8C" w:rsidRPr="008138C7" w:rsidRDefault="004E7C8C" w:rsidP="004E7C8C">
            <w:pPr>
              <w:rPr>
                <w:b/>
                <w:bCs/>
                <w:sz w:val="22"/>
                <w:szCs w:val="22"/>
                <w:lang w:val="en-CA"/>
              </w:rPr>
            </w:pPr>
            <w:r w:rsidRPr="008138C7">
              <w:rPr>
                <w:b/>
                <w:bCs/>
                <w:sz w:val="22"/>
                <w:szCs w:val="22"/>
                <w:lang w:val="en-CA"/>
              </w:rPr>
              <w:t>Partial imputation</w:t>
            </w:r>
          </w:p>
        </w:tc>
        <w:tc>
          <w:tcPr>
            <w:tcW w:w="0" w:type="auto"/>
            <w:vAlign w:val="bottom"/>
          </w:tcPr>
          <w:p w:rsidR="004E7C8C" w:rsidRPr="008138C7" w:rsidRDefault="004E7C8C" w:rsidP="004E7C8C">
            <w:pPr>
              <w:jc w:val="center"/>
              <w:rPr>
                <w:sz w:val="22"/>
                <w:szCs w:val="22"/>
              </w:rPr>
            </w:pPr>
            <w:r w:rsidRPr="008138C7">
              <w:rPr>
                <w:sz w:val="22"/>
                <w:szCs w:val="22"/>
                <w:lang w:val="en-CA"/>
              </w:rPr>
              <w:t>2.25</w:t>
            </w:r>
          </w:p>
        </w:tc>
        <w:tc>
          <w:tcPr>
            <w:tcW w:w="0" w:type="auto"/>
            <w:vAlign w:val="bottom"/>
          </w:tcPr>
          <w:p w:rsidR="004E7C8C" w:rsidRPr="008138C7" w:rsidRDefault="004E7C8C" w:rsidP="004E7C8C">
            <w:pPr>
              <w:jc w:val="center"/>
              <w:rPr>
                <w:sz w:val="22"/>
                <w:szCs w:val="22"/>
              </w:rPr>
            </w:pPr>
            <w:r w:rsidRPr="008138C7">
              <w:rPr>
                <w:color w:val="000000"/>
                <w:sz w:val="22"/>
                <w:szCs w:val="22"/>
                <w:lang w:val="en-CA"/>
              </w:rPr>
              <w:t>26.69</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1.52</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13.22</w:t>
            </w:r>
          </w:p>
        </w:tc>
      </w:tr>
      <w:tr w:rsidR="004E7C8C" w:rsidRPr="008138C7" w:rsidTr="004E7C8C">
        <w:trPr>
          <w:jc w:val="center"/>
        </w:trPr>
        <w:tc>
          <w:tcPr>
            <w:tcW w:w="0" w:type="auto"/>
            <w:vAlign w:val="center"/>
          </w:tcPr>
          <w:p w:rsidR="004E7C8C" w:rsidRPr="008138C7" w:rsidRDefault="004E7C8C" w:rsidP="004E7C8C">
            <w:pPr>
              <w:rPr>
                <w:b/>
                <w:bCs/>
                <w:sz w:val="22"/>
                <w:szCs w:val="22"/>
                <w:lang w:val="en-CA"/>
              </w:rPr>
            </w:pPr>
            <w:r w:rsidRPr="008138C7">
              <w:rPr>
                <w:b/>
                <w:bCs/>
                <w:sz w:val="22"/>
                <w:szCs w:val="22"/>
                <w:lang w:val="en-CA"/>
              </w:rPr>
              <w:t>Re-weighting</w:t>
            </w:r>
          </w:p>
        </w:tc>
        <w:tc>
          <w:tcPr>
            <w:tcW w:w="0" w:type="auto"/>
            <w:vAlign w:val="bottom"/>
          </w:tcPr>
          <w:p w:rsidR="004E7C8C" w:rsidRPr="008138C7" w:rsidRDefault="004E7C8C" w:rsidP="004E7C8C">
            <w:pPr>
              <w:jc w:val="center"/>
              <w:rPr>
                <w:sz w:val="22"/>
                <w:szCs w:val="22"/>
              </w:rPr>
            </w:pPr>
            <w:r w:rsidRPr="008138C7">
              <w:rPr>
                <w:sz w:val="22"/>
                <w:szCs w:val="22"/>
                <w:lang w:val="en-CA"/>
              </w:rPr>
              <w:t>2.03</w:t>
            </w:r>
          </w:p>
        </w:tc>
        <w:tc>
          <w:tcPr>
            <w:tcW w:w="0" w:type="auto"/>
            <w:vAlign w:val="bottom"/>
          </w:tcPr>
          <w:p w:rsidR="004E7C8C" w:rsidRPr="008138C7" w:rsidRDefault="004E7C8C" w:rsidP="004E7C8C">
            <w:pPr>
              <w:jc w:val="center"/>
              <w:rPr>
                <w:sz w:val="22"/>
                <w:szCs w:val="22"/>
              </w:rPr>
            </w:pPr>
            <w:r w:rsidRPr="008138C7">
              <w:rPr>
                <w:color w:val="000000"/>
                <w:sz w:val="22"/>
                <w:szCs w:val="22"/>
                <w:lang w:val="en-CA"/>
              </w:rPr>
              <w:t>26.77</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1.45</w:t>
            </w:r>
          </w:p>
        </w:tc>
        <w:tc>
          <w:tcPr>
            <w:tcW w:w="0" w:type="auto"/>
            <w:vAlign w:val="center"/>
          </w:tcPr>
          <w:p w:rsidR="004E7C8C" w:rsidRPr="008138C7" w:rsidRDefault="004E7C8C" w:rsidP="004E7C8C">
            <w:pPr>
              <w:jc w:val="center"/>
              <w:rPr>
                <w:sz w:val="22"/>
                <w:szCs w:val="22"/>
                <w:lang w:val="en-CA"/>
              </w:rPr>
            </w:pPr>
            <w:r w:rsidRPr="008138C7">
              <w:rPr>
                <w:sz w:val="22"/>
                <w:szCs w:val="22"/>
                <w:lang w:val="en-CA"/>
              </w:rPr>
              <w:t>18.67</w:t>
            </w:r>
          </w:p>
        </w:tc>
      </w:tr>
    </w:tbl>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Let’s first look at the results for the </w:t>
      </w:r>
      <w:r w:rsidRPr="008138C7">
        <w:rPr>
          <w:i/>
          <w:iCs/>
          <w:sz w:val="22"/>
          <w:szCs w:val="22"/>
          <w:lang w:val="en-CA"/>
        </w:rPr>
        <w:t>AAVRD</w:t>
      </w:r>
      <w:r w:rsidRPr="008138C7">
        <w:rPr>
          <w:i/>
          <w:iCs/>
          <w:sz w:val="22"/>
          <w:szCs w:val="22"/>
          <w:vertAlign w:val="subscript"/>
          <w:lang w:val="en-CA"/>
        </w:rPr>
        <w:t>2006</w:t>
      </w:r>
      <w:r w:rsidRPr="008138C7">
        <w:rPr>
          <w:sz w:val="22"/>
          <w:szCs w:val="22"/>
          <w:lang w:val="en-CA"/>
        </w:rPr>
        <w:t xml:space="preserve">. At the CMA level, both re-weighting and partial imputation have a smaller </w:t>
      </w:r>
      <w:r w:rsidRPr="008138C7">
        <w:rPr>
          <w:i/>
          <w:iCs/>
          <w:sz w:val="22"/>
          <w:szCs w:val="22"/>
          <w:lang w:val="en-CA"/>
        </w:rPr>
        <w:t>AAVRD</w:t>
      </w:r>
      <w:r w:rsidRPr="008138C7">
        <w:rPr>
          <w:i/>
          <w:iCs/>
          <w:sz w:val="22"/>
          <w:szCs w:val="22"/>
          <w:vertAlign w:val="subscript"/>
          <w:lang w:val="en-CA"/>
        </w:rPr>
        <w:t>2006</w:t>
      </w:r>
      <w:r w:rsidRPr="008138C7">
        <w:rPr>
          <w:sz w:val="22"/>
          <w:szCs w:val="22"/>
          <w:lang w:val="en-CA"/>
        </w:rPr>
        <w:t xml:space="preserve"> than mass imputation. Mass imputation is likely to have a smaller sub-sampling error than the two other approaches due to (</w:t>
      </w:r>
      <w:proofErr w:type="spellStart"/>
      <w:r w:rsidRPr="008138C7">
        <w:rPr>
          <w:sz w:val="22"/>
          <w:szCs w:val="22"/>
          <w:lang w:val="en-CA"/>
        </w:rPr>
        <w:t>i</w:t>
      </w:r>
      <w:proofErr w:type="spellEnd"/>
      <w:r w:rsidRPr="008138C7">
        <w:rPr>
          <w:sz w:val="22"/>
          <w:szCs w:val="22"/>
          <w:lang w:val="en-CA"/>
        </w:rPr>
        <w:t xml:space="preserve">) its use of the full first phase sample of non-respondents and (ii) the effect of sub-sampling being only on the set of donors available for the imputation, which includes the second phase respondents. The effect of sub-sampling is more important for the other two approaches given that it leads to estimates based on a smaller sample size than with the full sample. Given that the sub-sampling error is less important for mass imputation its larger </w:t>
      </w:r>
      <w:proofErr w:type="gramStart"/>
      <w:r w:rsidRPr="008138C7">
        <w:rPr>
          <w:i/>
          <w:iCs/>
          <w:sz w:val="22"/>
          <w:szCs w:val="22"/>
          <w:lang w:val="en-CA"/>
        </w:rPr>
        <w:t>AAVRD</w:t>
      </w:r>
      <w:r w:rsidRPr="008138C7">
        <w:rPr>
          <w:i/>
          <w:iCs/>
          <w:sz w:val="22"/>
          <w:szCs w:val="22"/>
          <w:vertAlign w:val="subscript"/>
          <w:lang w:val="en-CA"/>
        </w:rPr>
        <w:t xml:space="preserve">2006 </w:t>
      </w:r>
      <w:r w:rsidRPr="008138C7">
        <w:rPr>
          <w:sz w:val="22"/>
          <w:szCs w:val="22"/>
          <w:lang w:val="en-CA"/>
        </w:rPr>
        <w:t xml:space="preserve"> thus</w:t>
      </w:r>
      <w:proofErr w:type="gramEnd"/>
      <w:r w:rsidRPr="008138C7">
        <w:rPr>
          <w:sz w:val="22"/>
          <w:szCs w:val="22"/>
          <w:lang w:val="en-CA"/>
        </w:rPr>
        <w:t xml:space="preserve"> indicates that the approach has a larger residual error than the two other approaches. This, we believe, can be attributed to the fact that, for mass imputation, imputed data contribute to 43% of an estimated total whereas, for partial imputation, imputed data contribute to 14% of an estimated total and, for re-</w:t>
      </w:r>
      <w:proofErr w:type="gramStart"/>
      <w:r w:rsidRPr="008138C7">
        <w:rPr>
          <w:sz w:val="22"/>
          <w:szCs w:val="22"/>
          <w:lang w:val="en-CA"/>
        </w:rPr>
        <w:t>weighting,</w:t>
      </w:r>
      <w:proofErr w:type="gramEnd"/>
      <w:r w:rsidRPr="008138C7">
        <w:rPr>
          <w:sz w:val="22"/>
          <w:szCs w:val="22"/>
          <w:lang w:val="en-CA"/>
        </w:rPr>
        <w:t xml:space="preserve"> the contribution of the weight adjustment is the same as the latter. At the WA level, both re-weighting and partial imputation have a larger </w:t>
      </w:r>
      <w:r w:rsidRPr="008138C7">
        <w:rPr>
          <w:i/>
          <w:iCs/>
          <w:sz w:val="22"/>
          <w:szCs w:val="22"/>
          <w:lang w:val="en-CA"/>
        </w:rPr>
        <w:t>AAVRD</w:t>
      </w:r>
      <w:r w:rsidRPr="008138C7">
        <w:rPr>
          <w:i/>
          <w:iCs/>
          <w:sz w:val="22"/>
          <w:szCs w:val="22"/>
          <w:vertAlign w:val="subscript"/>
          <w:lang w:val="en-CA"/>
        </w:rPr>
        <w:t>2006</w:t>
      </w:r>
      <w:r w:rsidRPr="008138C7">
        <w:rPr>
          <w:sz w:val="22"/>
          <w:szCs w:val="22"/>
          <w:lang w:val="en-CA"/>
        </w:rPr>
        <w:t xml:space="preserve"> than mass imputation. This is likely due to larger sub-sampling errors for re-weighting and partial imputation. From the above discussion, it is concluded that both re-weighting and partial imputation are better than mass imputation at reducing the residual error due to unit non-response which is the main concern in the NHS context.</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Let’s now look at the results for </w:t>
      </w:r>
      <w:r w:rsidRPr="008138C7">
        <w:rPr>
          <w:i/>
          <w:iCs/>
          <w:sz w:val="22"/>
          <w:szCs w:val="22"/>
          <w:lang w:val="en-CA"/>
        </w:rPr>
        <w:t>AAVRD</w:t>
      </w:r>
      <w:r w:rsidRPr="008138C7">
        <w:rPr>
          <w:i/>
          <w:iCs/>
          <w:sz w:val="22"/>
          <w:szCs w:val="22"/>
          <w:vertAlign w:val="subscript"/>
          <w:lang w:val="en-CA"/>
        </w:rPr>
        <w:t>HH</w:t>
      </w:r>
      <w:r w:rsidRPr="008138C7">
        <w:rPr>
          <w:sz w:val="22"/>
          <w:szCs w:val="22"/>
          <w:lang w:val="en-CA"/>
        </w:rPr>
        <w:t xml:space="preserve">.  At the CMA level, partial imputation and re-weighting have very similar </w:t>
      </w:r>
      <w:proofErr w:type="gramStart"/>
      <w:r w:rsidRPr="008138C7">
        <w:rPr>
          <w:i/>
          <w:iCs/>
          <w:sz w:val="22"/>
          <w:szCs w:val="22"/>
          <w:lang w:val="en-CA"/>
        </w:rPr>
        <w:t>AAVRD</w:t>
      </w:r>
      <w:r w:rsidRPr="008138C7">
        <w:rPr>
          <w:i/>
          <w:iCs/>
          <w:sz w:val="22"/>
          <w:szCs w:val="22"/>
          <w:vertAlign w:val="subscript"/>
          <w:lang w:val="en-CA"/>
        </w:rPr>
        <w:t>HH</w:t>
      </w:r>
      <w:r w:rsidRPr="008138C7">
        <w:rPr>
          <w:sz w:val="22"/>
          <w:szCs w:val="22"/>
          <w:lang w:val="en-CA"/>
        </w:rPr>
        <w:t xml:space="preserve"> ,</w:t>
      </w:r>
      <w:proofErr w:type="gramEnd"/>
      <w:r w:rsidRPr="008138C7">
        <w:rPr>
          <w:sz w:val="22"/>
          <w:szCs w:val="22"/>
          <w:lang w:val="en-CA"/>
        </w:rPr>
        <w:t xml:space="preserve"> in other words they are both as effective to reduce the adjustment residual error. At the WA level, partial imputation has a smaller </w:t>
      </w:r>
      <w:proofErr w:type="gramStart"/>
      <w:r w:rsidRPr="008138C7">
        <w:rPr>
          <w:i/>
          <w:iCs/>
          <w:sz w:val="22"/>
          <w:szCs w:val="22"/>
          <w:lang w:val="en-CA"/>
        </w:rPr>
        <w:t>AAVRD</w:t>
      </w:r>
      <w:r w:rsidRPr="008138C7">
        <w:rPr>
          <w:i/>
          <w:iCs/>
          <w:sz w:val="22"/>
          <w:szCs w:val="22"/>
          <w:vertAlign w:val="subscript"/>
          <w:lang w:val="en-CA"/>
        </w:rPr>
        <w:t>HH</w:t>
      </w:r>
      <w:r w:rsidRPr="008138C7">
        <w:rPr>
          <w:sz w:val="22"/>
          <w:szCs w:val="22"/>
          <w:lang w:val="en-CA"/>
        </w:rPr>
        <w:t xml:space="preserve">  than</w:t>
      </w:r>
      <w:proofErr w:type="gramEnd"/>
      <w:r w:rsidRPr="008138C7">
        <w:rPr>
          <w:sz w:val="22"/>
          <w:szCs w:val="22"/>
          <w:lang w:val="en-CA"/>
        </w:rPr>
        <w:t xml:space="preserve"> re-weighting. An explanation of this result could be that partial imputation benefited from preserving census data for second phase non-respondents and that the modelling for the scores method was done at the CMA level without accounting for neighbourhood effects. If the latter had been done, results could have been better for re-weighting at the WA level. </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lastRenderedPageBreak/>
        <w:t xml:space="preserve">If time and resources are available in the second half of 2012, additional research will be conducted in particular on re-weighting methods. If such research is conducted, the parameters assumed in the simulations will need to be revised in order to reflect the 2011 NHS actual sampling rates, response rates, </w:t>
      </w:r>
      <w:proofErr w:type="spellStart"/>
      <w:r w:rsidRPr="008138C7">
        <w:rPr>
          <w:sz w:val="22"/>
          <w:szCs w:val="22"/>
          <w:lang w:val="en-CA"/>
        </w:rPr>
        <w:t>paradata</w:t>
      </w:r>
      <w:proofErr w:type="spellEnd"/>
      <w:r w:rsidRPr="008138C7">
        <w:rPr>
          <w:sz w:val="22"/>
          <w:szCs w:val="22"/>
          <w:lang w:val="en-CA"/>
        </w:rPr>
        <w:t xml:space="preserve"> and characteristics of respondents and non-respondents. Some implications of the revised parameters are that the sub-sampling error should tend to be larger as the 2011 sub-sample is smaller than the one in the empirical study. Also, the contribution of imputed data to an estimated total for mass imputation, i.e. 31.4%, would be closer to the contribution for partial imputation, i.e. 20.7%. In other words, the difference in residual errors between mass imputation and partial imputation should tend to be smaller. The impact of 2011 </w:t>
      </w:r>
      <w:proofErr w:type="spellStart"/>
      <w:r w:rsidRPr="008138C7">
        <w:rPr>
          <w:sz w:val="22"/>
          <w:szCs w:val="22"/>
          <w:lang w:val="en-CA"/>
        </w:rPr>
        <w:t>paradata</w:t>
      </w:r>
      <w:proofErr w:type="spellEnd"/>
      <w:r w:rsidRPr="008138C7">
        <w:rPr>
          <w:sz w:val="22"/>
          <w:szCs w:val="22"/>
          <w:lang w:val="en-CA"/>
        </w:rPr>
        <w:t xml:space="preserve"> and characteristics of respondents and non-respondents on the results of a revised study are difficult to predict.</w:t>
      </w: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3.</w:t>
      </w:r>
      <w:r w:rsidR="001B09C1">
        <w:rPr>
          <w:b/>
          <w:bCs/>
          <w:sz w:val="22"/>
          <w:szCs w:val="22"/>
          <w:lang w:val="en-CA"/>
        </w:rPr>
        <w:t>2</w:t>
      </w:r>
      <w:r w:rsidRPr="008138C7">
        <w:rPr>
          <w:b/>
          <w:bCs/>
          <w:sz w:val="22"/>
          <w:szCs w:val="22"/>
          <w:lang w:val="en-CA"/>
        </w:rPr>
        <w:t xml:space="preserve"> Calibration to census counts</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As for previous censuses, the plan for the 2011 NHS is to calibrate the design weights using census counts. There are more census counts available in 2011 than before due to having more questions on the census short form. As a result the plan is to use 60 characteristics such age groups, sex, marital/common law status, household size, type of family structure, linguistic groups and type of dwelling for the NHS calibration.</w:t>
      </w:r>
    </w:p>
    <w:p w:rsidR="004E7C8C" w:rsidRPr="008138C7" w:rsidRDefault="004E7C8C" w:rsidP="004E7C8C">
      <w:pPr>
        <w:rPr>
          <w:sz w:val="22"/>
          <w:szCs w:val="22"/>
          <w:lang w:val="en-CA"/>
        </w:rPr>
      </w:pPr>
    </w:p>
    <w:p w:rsidR="004E7C8C" w:rsidRPr="008138C7" w:rsidRDefault="004E7C8C" w:rsidP="004E7C8C">
      <w:pPr>
        <w:rPr>
          <w:sz w:val="22"/>
          <w:szCs w:val="22"/>
          <w:lang w:val="en-CA"/>
        </w:rPr>
      </w:pPr>
      <w:r w:rsidRPr="008138C7">
        <w:rPr>
          <w:sz w:val="22"/>
          <w:szCs w:val="22"/>
          <w:lang w:val="en-CA"/>
        </w:rPr>
        <w:t xml:space="preserve">To perform the calibration, weighting areas (WA) need to be formed. These are being formed by ensuring that a good size sample is available in each weighting area. A first iteration at forming </w:t>
      </w:r>
      <w:proofErr w:type="gramStart"/>
      <w:r w:rsidRPr="008138C7">
        <w:rPr>
          <w:sz w:val="22"/>
          <w:szCs w:val="22"/>
          <w:lang w:val="en-CA"/>
        </w:rPr>
        <w:t>WAs</w:t>
      </w:r>
      <w:proofErr w:type="gramEnd"/>
      <w:r w:rsidRPr="008138C7">
        <w:rPr>
          <w:sz w:val="22"/>
          <w:szCs w:val="22"/>
          <w:lang w:val="en-CA"/>
        </w:rPr>
        <w:t xml:space="preserve"> resulted in an average number of sample respondent households of 460 and an average total number of households of 2300. These averages are larger than in 2006 to account for the increased number of calibration constraints.</w:t>
      </w:r>
      <w:r>
        <w:rPr>
          <w:sz w:val="22"/>
          <w:szCs w:val="22"/>
          <w:lang w:val="en-CA"/>
        </w:rPr>
        <w:t xml:space="preserve"> </w:t>
      </w:r>
      <w:r w:rsidRPr="008138C7">
        <w:rPr>
          <w:sz w:val="22"/>
          <w:szCs w:val="22"/>
          <w:lang w:val="en-CA"/>
        </w:rPr>
        <w:t>The calibration to</w:t>
      </w:r>
      <w:r>
        <w:rPr>
          <w:sz w:val="22"/>
          <w:szCs w:val="22"/>
          <w:lang w:val="en-CA"/>
        </w:rPr>
        <w:t>tals are listed in appendix.</w:t>
      </w:r>
    </w:p>
    <w:p w:rsidR="004E7C8C" w:rsidRPr="008138C7" w:rsidRDefault="004E7C8C" w:rsidP="004E7C8C">
      <w:pPr>
        <w:rPr>
          <w:sz w:val="22"/>
          <w:szCs w:val="22"/>
          <w:lang w:val="en-CA"/>
        </w:rPr>
      </w:pP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 xml:space="preserve">4. </w:t>
      </w:r>
      <w:r w:rsidR="00697BD4">
        <w:rPr>
          <w:b/>
          <w:bCs/>
          <w:sz w:val="22"/>
          <w:szCs w:val="22"/>
          <w:lang w:val="en-CA"/>
        </w:rPr>
        <w:t>Points</w:t>
      </w:r>
      <w:r w:rsidRPr="008138C7">
        <w:rPr>
          <w:b/>
          <w:bCs/>
          <w:sz w:val="22"/>
          <w:szCs w:val="22"/>
          <w:lang w:val="en-CA"/>
        </w:rPr>
        <w:t xml:space="preserve"> for discussion:</w:t>
      </w:r>
    </w:p>
    <w:p w:rsidR="004E7C8C" w:rsidRPr="008138C7" w:rsidRDefault="004E7C8C" w:rsidP="004E7C8C">
      <w:pPr>
        <w:rPr>
          <w:sz w:val="22"/>
          <w:szCs w:val="22"/>
          <w:lang w:val="en-CA"/>
        </w:rPr>
      </w:pPr>
    </w:p>
    <w:p w:rsidR="004A72D0" w:rsidRDefault="00697BD4" w:rsidP="004E7C8C">
      <w:pPr>
        <w:rPr>
          <w:sz w:val="22"/>
          <w:szCs w:val="22"/>
          <w:lang w:val="en-CA"/>
        </w:rPr>
      </w:pPr>
      <w:r>
        <w:rPr>
          <w:sz w:val="22"/>
          <w:szCs w:val="22"/>
          <w:lang w:val="en-CA"/>
        </w:rPr>
        <w:t xml:space="preserve">What are the other countries experiences </w:t>
      </w:r>
      <w:r w:rsidR="004A72D0">
        <w:rPr>
          <w:sz w:val="22"/>
          <w:szCs w:val="22"/>
          <w:lang w:val="en-CA"/>
        </w:rPr>
        <w:t xml:space="preserve">with </w:t>
      </w:r>
      <w:r>
        <w:rPr>
          <w:sz w:val="22"/>
          <w:szCs w:val="22"/>
          <w:lang w:val="en-CA"/>
        </w:rPr>
        <w:t xml:space="preserve">large scale </w:t>
      </w:r>
      <w:r w:rsidR="004A72D0">
        <w:rPr>
          <w:sz w:val="22"/>
          <w:szCs w:val="22"/>
          <w:lang w:val="en-CA"/>
        </w:rPr>
        <w:t xml:space="preserve">voluntary </w:t>
      </w:r>
      <w:r>
        <w:rPr>
          <w:sz w:val="22"/>
          <w:szCs w:val="22"/>
          <w:lang w:val="en-CA"/>
        </w:rPr>
        <w:t>household surveys</w:t>
      </w:r>
      <w:r w:rsidR="004A72D0">
        <w:rPr>
          <w:sz w:val="22"/>
          <w:szCs w:val="22"/>
          <w:lang w:val="en-CA"/>
        </w:rPr>
        <w:t xml:space="preserve"> regarding methodologies for reducing </w:t>
      </w:r>
      <w:r w:rsidR="00F16F85">
        <w:rPr>
          <w:sz w:val="22"/>
          <w:szCs w:val="22"/>
          <w:lang w:val="en-CA"/>
        </w:rPr>
        <w:t xml:space="preserve">unit </w:t>
      </w:r>
      <w:r w:rsidR="004A72D0">
        <w:rPr>
          <w:sz w:val="22"/>
          <w:szCs w:val="22"/>
          <w:lang w:val="en-CA"/>
        </w:rPr>
        <w:t>non-response error</w:t>
      </w:r>
      <w:r w:rsidR="00F16F85">
        <w:rPr>
          <w:sz w:val="22"/>
          <w:szCs w:val="22"/>
          <w:lang w:val="en-CA"/>
        </w:rPr>
        <w:t xml:space="preserve"> when</w:t>
      </w:r>
      <w:r w:rsidR="004A72D0">
        <w:rPr>
          <w:sz w:val="22"/>
          <w:szCs w:val="22"/>
          <w:lang w:val="en-CA"/>
        </w:rPr>
        <w:t>:</w:t>
      </w:r>
    </w:p>
    <w:p w:rsidR="004E7C8C" w:rsidRDefault="004A72D0" w:rsidP="004A72D0">
      <w:pPr>
        <w:pStyle w:val="Paragraphedeliste"/>
        <w:numPr>
          <w:ilvl w:val="0"/>
          <w:numId w:val="3"/>
        </w:numPr>
        <w:rPr>
          <w:sz w:val="22"/>
          <w:szCs w:val="22"/>
          <w:lang w:val="en-CA"/>
        </w:rPr>
      </w:pPr>
      <w:proofErr w:type="gramStart"/>
      <w:r>
        <w:rPr>
          <w:sz w:val="22"/>
          <w:szCs w:val="22"/>
          <w:lang w:val="en-CA"/>
        </w:rPr>
        <w:t>designing</w:t>
      </w:r>
      <w:proofErr w:type="gramEnd"/>
      <w:r w:rsidR="00F16F85">
        <w:rPr>
          <w:sz w:val="22"/>
          <w:szCs w:val="22"/>
          <w:lang w:val="en-CA"/>
        </w:rPr>
        <w:t xml:space="preserve"> samples</w:t>
      </w:r>
      <w:r>
        <w:rPr>
          <w:sz w:val="22"/>
          <w:szCs w:val="22"/>
          <w:lang w:val="en-CA"/>
        </w:rPr>
        <w:t xml:space="preserve"> </w:t>
      </w:r>
      <w:r w:rsidR="00697BD4" w:rsidRPr="004A72D0">
        <w:rPr>
          <w:sz w:val="22"/>
          <w:szCs w:val="22"/>
          <w:lang w:val="en-CA"/>
        </w:rPr>
        <w:t>?</w:t>
      </w:r>
    </w:p>
    <w:p w:rsidR="004A72D0" w:rsidRDefault="004A72D0" w:rsidP="004A72D0">
      <w:pPr>
        <w:pStyle w:val="Paragraphedeliste"/>
        <w:numPr>
          <w:ilvl w:val="0"/>
          <w:numId w:val="3"/>
        </w:numPr>
        <w:rPr>
          <w:sz w:val="22"/>
          <w:szCs w:val="22"/>
          <w:lang w:val="en-CA"/>
        </w:rPr>
      </w:pPr>
      <w:proofErr w:type="gramStart"/>
      <w:r>
        <w:rPr>
          <w:sz w:val="22"/>
          <w:szCs w:val="22"/>
          <w:lang w:val="en-CA"/>
        </w:rPr>
        <w:t>managing</w:t>
      </w:r>
      <w:proofErr w:type="gramEnd"/>
      <w:r>
        <w:rPr>
          <w:sz w:val="22"/>
          <w:szCs w:val="22"/>
          <w:lang w:val="en-CA"/>
        </w:rPr>
        <w:t xml:space="preserve"> collection effort?</w:t>
      </w:r>
    </w:p>
    <w:p w:rsidR="004A72D0" w:rsidRPr="004A72D0" w:rsidRDefault="00F16F85" w:rsidP="004A72D0">
      <w:pPr>
        <w:pStyle w:val="Paragraphedeliste"/>
        <w:numPr>
          <w:ilvl w:val="0"/>
          <w:numId w:val="3"/>
        </w:numPr>
        <w:rPr>
          <w:sz w:val="22"/>
          <w:szCs w:val="22"/>
          <w:lang w:val="en-CA"/>
        </w:rPr>
      </w:pPr>
      <w:proofErr w:type="gramStart"/>
      <w:r>
        <w:rPr>
          <w:sz w:val="22"/>
          <w:szCs w:val="22"/>
          <w:lang w:val="en-CA"/>
        </w:rPr>
        <w:t>a</w:t>
      </w:r>
      <w:r w:rsidR="004A72D0">
        <w:rPr>
          <w:sz w:val="22"/>
          <w:szCs w:val="22"/>
          <w:lang w:val="en-CA"/>
        </w:rPr>
        <w:t>djust</w:t>
      </w:r>
      <w:r>
        <w:rPr>
          <w:sz w:val="22"/>
          <w:szCs w:val="22"/>
          <w:lang w:val="en-CA"/>
        </w:rPr>
        <w:t>ing</w:t>
      </w:r>
      <w:proofErr w:type="gramEnd"/>
      <w:r>
        <w:rPr>
          <w:sz w:val="22"/>
          <w:szCs w:val="22"/>
          <w:lang w:val="en-CA"/>
        </w:rPr>
        <w:t xml:space="preserve"> data </w:t>
      </w:r>
      <w:r w:rsidR="004A72D0">
        <w:rPr>
          <w:sz w:val="22"/>
          <w:szCs w:val="22"/>
          <w:lang w:val="en-CA"/>
        </w:rPr>
        <w:t>via imputation or re-weighting?</w:t>
      </w:r>
    </w:p>
    <w:p w:rsidR="00697BD4" w:rsidRDefault="00697BD4" w:rsidP="004E7C8C">
      <w:pPr>
        <w:rPr>
          <w:sz w:val="22"/>
          <w:szCs w:val="22"/>
          <w:lang w:val="en-CA"/>
        </w:rPr>
      </w:pPr>
    </w:p>
    <w:p w:rsidR="004E7C8C" w:rsidRPr="008138C7" w:rsidRDefault="004E7C8C" w:rsidP="004E7C8C">
      <w:pPr>
        <w:rPr>
          <w:sz w:val="22"/>
          <w:szCs w:val="22"/>
          <w:lang w:val="en-CA"/>
        </w:rPr>
      </w:pPr>
    </w:p>
    <w:p w:rsidR="004E7C8C" w:rsidRPr="008138C7" w:rsidRDefault="004E7C8C" w:rsidP="004E7C8C">
      <w:pPr>
        <w:rPr>
          <w:b/>
          <w:bCs/>
          <w:sz w:val="22"/>
          <w:szCs w:val="22"/>
          <w:lang w:val="en-CA"/>
        </w:rPr>
      </w:pPr>
      <w:r w:rsidRPr="008138C7">
        <w:rPr>
          <w:b/>
          <w:bCs/>
          <w:sz w:val="22"/>
          <w:szCs w:val="22"/>
          <w:lang w:val="en-CA"/>
        </w:rPr>
        <w:t>References:</w:t>
      </w:r>
    </w:p>
    <w:p w:rsidR="004E7C8C" w:rsidRPr="008138C7" w:rsidRDefault="004E7C8C" w:rsidP="004E7C8C">
      <w:pPr>
        <w:rPr>
          <w:sz w:val="22"/>
          <w:szCs w:val="22"/>
          <w:lang w:val="en-CA"/>
        </w:rPr>
      </w:pPr>
    </w:p>
    <w:p w:rsidR="004E7C8C" w:rsidRPr="008138C7" w:rsidRDefault="004E7C8C" w:rsidP="004E7C8C">
      <w:pPr>
        <w:ind w:left="720" w:hanging="720"/>
        <w:rPr>
          <w:sz w:val="22"/>
          <w:szCs w:val="22"/>
          <w:lang w:val="en-CA"/>
        </w:rPr>
      </w:pPr>
      <w:proofErr w:type="gramStart"/>
      <w:r w:rsidRPr="008138C7">
        <w:rPr>
          <w:sz w:val="22"/>
          <w:szCs w:val="22"/>
          <w:lang w:val="en-CA"/>
        </w:rPr>
        <w:t xml:space="preserve">Chang, T. and </w:t>
      </w:r>
      <w:proofErr w:type="spellStart"/>
      <w:r w:rsidRPr="008138C7">
        <w:rPr>
          <w:sz w:val="22"/>
          <w:szCs w:val="22"/>
          <w:lang w:val="en-CA"/>
        </w:rPr>
        <w:t>Kott</w:t>
      </w:r>
      <w:proofErr w:type="spellEnd"/>
      <w:r w:rsidRPr="008138C7">
        <w:rPr>
          <w:sz w:val="22"/>
          <w:szCs w:val="22"/>
          <w:lang w:val="en-CA"/>
        </w:rPr>
        <w:t>, P.S. (2008).</w:t>
      </w:r>
      <w:proofErr w:type="gramEnd"/>
      <w:r w:rsidRPr="008138C7">
        <w:rPr>
          <w:sz w:val="22"/>
          <w:szCs w:val="22"/>
          <w:lang w:val="en-CA"/>
        </w:rPr>
        <w:t xml:space="preserve"> </w:t>
      </w:r>
      <w:proofErr w:type="gramStart"/>
      <w:r w:rsidRPr="008138C7">
        <w:rPr>
          <w:sz w:val="22"/>
          <w:szCs w:val="22"/>
          <w:lang w:val="en-CA"/>
        </w:rPr>
        <w:t xml:space="preserve">Using calibration weighting to adjust for </w:t>
      </w:r>
      <w:proofErr w:type="spellStart"/>
      <w:r w:rsidRPr="008138C7">
        <w:rPr>
          <w:sz w:val="22"/>
          <w:szCs w:val="22"/>
          <w:lang w:val="en-CA"/>
        </w:rPr>
        <w:t>nonresponse</w:t>
      </w:r>
      <w:proofErr w:type="spellEnd"/>
      <w:r w:rsidRPr="008138C7">
        <w:rPr>
          <w:sz w:val="22"/>
          <w:szCs w:val="22"/>
          <w:lang w:val="en-CA"/>
        </w:rPr>
        <w:t xml:space="preserve"> under a plausible model.</w:t>
      </w:r>
      <w:proofErr w:type="gramEnd"/>
      <w:r w:rsidRPr="008138C7">
        <w:rPr>
          <w:sz w:val="22"/>
          <w:szCs w:val="22"/>
          <w:lang w:val="en-CA"/>
        </w:rPr>
        <w:t xml:space="preserve"> </w:t>
      </w:r>
      <w:proofErr w:type="spellStart"/>
      <w:r w:rsidRPr="008138C7">
        <w:rPr>
          <w:i/>
          <w:sz w:val="22"/>
          <w:szCs w:val="22"/>
          <w:lang w:val="en-CA"/>
        </w:rPr>
        <w:t>Biometrika</w:t>
      </w:r>
      <w:proofErr w:type="spellEnd"/>
      <w:r w:rsidRPr="008138C7">
        <w:rPr>
          <w:sz w:val="22"/>
          <w:szCs w:val="22"/>
          <w:lang w:val="en-CA"/>
        </w:rPr>
        <w:t xml:space="preserve">, </w:t>
      </w:r>
      <w:r w:rsidRPr="008138C7">
        <w:rPr>
          <w:b/>
          <w:sz w:val="22"/>
          <w:szCs w:val="22"/>
          <w:lang w:val="en-CA"/>
        </w:rPr>
        <w:t>95</w:t>
      </w:r>
      <w:r w:rsidRPr="008138C7">
        <w:rPr>
          <w:sz w:val="22"/>
          <w:szCs w:val="22"/>
          <w:lang w:val="en-CA"/>
        </w:rPr>
        <w:t>, 3, 555-571.</w:t>
      </w:r>
    </w:p>
    <w:p w:rsidR="004E7C8C" w:rsidRPr="008138C7" w:rsidRDefault="004E7C8C" w:rsidP="004E7C8C">
      <w:pPr>
        <w:ind w:left="720" w:hanging="720"/>
        <w:rPr>
          <w:sz w:val="22"/>
          <w:szCs w:val="22"/>
          <w:lang w:val="en-CA"/>
        </w:rPr>
      </w:pPr>
    </w:p>
    <w:p w:rsidR="004E7C8C" w:rsidRPr="008138C7" w:rsidRDefault="004E7C8C" w:rsidP="004E7C8C">
      <w:pPr>
        <w:ind w:left="720" w:hanging="720"/>
        <w:rPr>
          <w:sz w:val="22"/>
          <w:szCs w:val="22"/>
          <w:lang w:val="en-CA"/>
        </w:rPr>
      </w:pPr>
      <w:proofErr w:type="gramStart"/>
      <w:r w:rsidRPr="008138C7">
        <w:rPr>
          <w:sz w:val="22"/>
          <w:szCs w:val="22"/>
          <w:lang w:val="en-CA"/>
        </w:rPr>
        <w:t>Hansen, M.H. and Hurwitz, W.N. (1946).</w:t>
      </w:r>
      <w:proofErr w:type="gramEnd"/>
      <w:r w:rsidRPr="008138C7">
        <w:rPr>
          <w:sz w:val="22"/>
          <w:szCs w:val="22"/>
          <w:lang w:val="en-CA"/>
        </w:rPr>
        <w:t xml:space="preserve"> </w:t>
      </w:r>
      <w:proofErr w:type="gramStart"/>
      <w:r w:rsidRPr="008138C7">
        <w:rPr>
          <w:sz w:val="22"/>
          <w:szCs w:val="22"/>
          <w:lang w:val="en-CA"/>
        </w:rPr>
        <w:t xml:space="preserve">The problem of </w:t>
      </w:r>
      <w:proofErr w:type="spellStart"/>
      <w:r w:rsidRPr="008138C7">
        <w:rPr>
          <w:sz w:val="22"/>
          <w:szCs w:val="22"/>
          <w:lang w:val="en-CA"/>
        </w:rPr>
        <w:t>nonresponse</w:t>
      </w:r>
      <w:proofErr w:type="spellEnd"/>
      <w:r w:rsidRPr="008138C7">
        <w:rPr>
          <w:sz w:val="22"/>
          <w:szCs w:val="22"/>
          <w:lang w:val="en-CA"/>
        </w:rPr>
        <w:t xml:space="preserve"> in sample surveys.</w:t>
      </w:r>
      <w:proofErr w:type="gramEnd"/>
      <w:r w:rsidRPr="008138C7">
        <w:rPr>
          <w:sz w:val="22"/>
          <w:szCs w:val="22"/>
          <w:lang w:val="en-CA"/>
        </w:rPr>
        <w:t xml:space="preserve"> </w:t>
      </w:r>
      <w:proofErr w:type="gramStart"/>
      <w:r w:rsidRPr="008138C7">
        <w:rPr>
          <w:i/>
          <w:iCs/>
          <w:sz w:val="22"/>
          <w:szCs w:val="22"/>
          <w:lang w:val="en-CA"/>
        </w:rPr>
        <w:t>Jour. Amer. Stat. Assoc.</w:t>
      </w:r>
      <w:r w:rsidRPr="008138C7">
        <w:rPr>
          <w:sz w:val="22"/>
          <w:szCs w:val="22"/>
          <w:lang w:val="en-CA"/>
        </w:rPr>
        <w:t>, 41, 517-429.</w:t>
      </w:r>
      <w:proofErr w:type="gramEnd"/>
    </w:p>
    <w:p w:rsidR="004E7C8C" w:rsidRPr="008138C7" w:rsidRDefault="004E7C8C" w:rsidP="004E7C8C">
      <w:pPr>
        <w:ind w:left="720" w:hanging="720"/>
        <w:rPr>
          <w:sz w:val="22"/>
          <w:szCs w:val="22"/>
          <w:lang w:val="en-CA"/>
        </w:rPr>
      </w:pPr>
    </w:p>
    <w:p w:rsidR="004E7C8C" w:rsidRPr="008138C7" w:rsidRDefault="004E7C8C" w:rsidP="004E7C8C">
      <w:pPr>
        <w:ind w:left="720" w:hanging="720"/>
        <w:rPr>
          <w:sz w:val="22"/>
          <w:szCs w:val="22"/>
          <w:lang w:val="en-CA"/>
        </w:rPr>
      </w:pPr>
      <w:proofErr w:type="gramStart"/>
      <w:r w:rsidRPr="008138C7">
        <w:rPr>
          <w:sz w:val="22"/>
          <w:szCs w:val="22"/>
          <w:lang w:val="en-CA"/>
        </w:rPr>
        <w:t>Mathieu, P. and Morin, J.-P.</w:t>
      </w:r>
      <w:proofErr w:type="gramEnd"/>
      <w:r w:rsidRPr="008138C7">
        <w:rPr>
          <w:sz w:val="22"/>
          <w:szCs w:val="22"/>
          <w:lang w:val="en-CA"/>
        </w:rPr>
        <w:t xml:space="preserve"> </w:t>
      </w:r>
      <w:proofErr w:type="gramStart"/>
      <w:r w:rsidRPr="008138C7">
        <w:rPr>
          <w:sz w:val="22"/>
          <w:szCs w:val="22"/>
          <w:lang w:val="en-CA"/>
        </w:rPr>
        <w:t>(2010). National Household Survey Non-Response Follow-up</w:t>
      </w:r>
      <w:r w:rsidRPr="008138C7">
        <w:rPr>
          <w:i/>
          <w:iCs/>
          <w:sz w:val="22"/>
          <w:szCs w:val="22"/>
          <w:lang w:val="en-CA"/>
        </w:rPr>
        <w:t>.</w:t>
      </w:r>
      <w:proofErr w:type="gramEnd"/>
      <w:r w:rsidRPr="008138C7">
        <w:rPr>
          <w:i/>
          <w:iCs/>
          <w:sz w:val="22"/>
          <w:szCs w:val="22"/>
          <w:lang w:val="en-CA"/>
        </w:rPr>
        <w:t xml:space="preserve">  </w:t>
      </w:r>
      <w:proofErr w:type="gramStart"/>
      <w:r w:rsidRPr="008138C7">
        <w:rPr>
          <w:b/>
          <w:bCs/>
          <w:sz w:val="22"/>
          <w:szCs w:val="22"/>
          <w:lang w:val="en-CA"/>
        </w:rPr>
        <w:t>Paper presented to the Advisory Committee on Statistical Methods</w:t>
      </w:r>
      <w:r w:rsidRPr="008138C7">
        <w:rPr>
          <w:sz w:val="22"/>
          <w:szCs w:val="22"/>
          <w:lang w:val="en-CA"/>
        </w:rPr>
        <w:t>, October 2010.</w:t>
      </w:r>
      <w:proofErr w:type="gramEnd"/>
    </w:p>
    <w:p w:rsidR="004E7C8C" w:rsidRPr="008138C7" w:rsidRDefault="004E7C8C" w:rsidP="004E7C8C">
      <w:pPr>
        <w:ind w:left="720" w:hanging="720"/>
        <w:rPr>
          <w:sz w:val="22"/>
          <w:szCs w:val="22"/>
          <w:lang w:val="en-CA"/>
        </w:rPr>
      </w:pPr>
    </w:p>
    <w:p w:rsidR="004E7C8C" w:rsidRDefault="004E7C8C" w:rsidP="004E7C8C">
      <w:pPr>
        <w:ind w:left="720" w:hanging="720"/>
        <w:rPr>
          <w:sz w:val="22"/>
          <w:szCs w:val="22"/>
          <w:lang w:val="en-CA"/>
        </w:rPr>
      </w:pPr>
      <w:proofErr w:type="gramStart"/>
      <w:r w:rsidRPr="008138C7">
        <w:rPr>
          <w:sz w:val="22"/>
          <w:szCs w:val="22"/>
          <w:lang w:val="en-CA"/>
        </w:rPr>
        <w:t>U.S. Census Bureau (2009).</w:t>
      </w:r>
      <w:proofErr w:type="gramEnd"/>
      <w:r w:rsidRPr="008138C7">
        <w:rPr>
          <w:sz w:val="22"/>
          <w:szCs w:val="22"/>
          <w:lang w:val="en-CA"/>
        </w:rPr>
        <w:t xml:space="preserve"> </w:t>
      </w:r>
      <w:proofErr w:type="gramStart"/>
      <w:r w:rsidRPr="008138C7">
        <w:rPr>
          <w:i/>
          <w:iCs/>
          <w:sz w:val="22"/>
          <w:szCs w:val="22"/>
          <w:lang w:val="en-CA"/>
        </w:rPr>
        <w:t>Design and Methodology.</w:t>
      </w:r>
      <w:proofErr w:type="gramEnd"/>
      <w:r w:rsidRPr="008138C7">
        <w:rPr>
          <w:i/>
          <w:iCs/>
          <w:sz w:val="22"/>
          <w:szCs w:val="22"/>
          <w:lang w:val="en-CA"/>
        </w:rPr>
        <w:t xml:space="preserve"> </w:t>
      </w:r>
      <w:proofErr w:type="gramStart"/>
      <w:r w:rsidRPr="008138C7">
        <w:rPr>
          <w:sz w:val="22"/>
          <w:szCs w:val="22"/>
          <w:lang w:val="en-CA"/>
        </w:rPr>
        <w:t>American Community Survey.</w:t>
      </w:r>
      <w:proofErr w:type="gramEnd"/>
      <w:r w:rsidRPr="008138C7">
        <w:rPr>
          <w:i/>
          <w:iCs/>
          <w:sz w:val="22"/>
          <w:szCs w:val="22"/>
          <w:lang w:val="en-CA"/>
        </w:rPr>
        <w:t xml:space="preserve"> </w:t>
      </w:r>
      <w:proofErr w:type="gramStart"/>
      <w:r w:rsidRPr="008138C7">
        <w:rPr>
          <w:b/>
          <w:bCs/>
          <w:sz w:val="22"/>
          <w:szCs w:val="22"/>
          <w:lang w:val="en-CA"/>
        </w:rPr>
        <w:t>U.S. Government Printing Office, Washington, DC</w:t>
      </w:r>
      <w:r w:rsidRPr="008138C7">
        <w:rPr>
          <w:sz w:val="22"/>
          <w:szCs w:val="22"/>
          <w:lang w:val="en-CA"/>
        </w:rPr>
        <w:t>, 2009.</w:t>
      </w:r>
      <w:proofErr w:type="gramEnd"/>
    </w:p>
    <w:p w:rsidR="000F390C" w:rsidRDefault="000F390C" w:rsidP="004E7C8C">
      <w:pPr>
        <w:ind w:left="720" w:hanging="720"/>
        <w:rPr>
          <w:sz w:val="22"/>
          <w:szCs w:val="22"/>
          <w:lang w:val="en-CA"/>
        </w:rPr>
      </w:pPr>
    </w:p>
    <w:p w:rsidR="000F390C" w:rsidRDefault="000F390C" w:rsidP="004E7C8C">
      <w:pPr>
        <w:ind w:left="720" w:hanging="720"/>
        <w:rPr>
          <w:b/>
          <w:sz w:val="22"/>
          <w:szCs w:val="22"/>
          <w:lang w:val="en-CA"/>
        </w:rPr>
      </w:pPr>
      <w:proofErr w:type="gramStart"/>
      <w:r>
        <w:rPr>
          <w:sz w:val="22"/>
          <w:szCs w:val="22"/>
          <w:lang w:val="en-CA"/>
        </w:rPr>
        <w:t>Verret, F. (2011).</w:t>
      </w:r>
      <w:proofErr w:type="gramEnd"/>
      <w:r>
        <w:rPr>
          <w:sz w:val="22"/>
          <w:szCs w:val="22"/>
          <w:lang w:val="en-CA"/>
        </w:rPr>
        <w:t xml:space="preserve"> </w:t>
      </w:r>
      <w:proofErr w:type="gramStart"/>
      <w:r>
        <w:rPr>
          <w:sz w:val="22"/>
          <w:szCs w:val="22"/>
          <w:lang w:val="en-CA"/>
        </w:rPr>
        <w:t>The Estimation Strategy of the National Household Survey.</w:t>
      </w:r>
      <w:proofErr w:type="gramEnd"/>
      <w:r>
        <w:rPr>
          <w:sz w:val="22"/>
          <w:szCs w:val="22"/>
          <w:lang w:val="en-CA"/>
        </w:rPr>
        <w:t xml:space="preserve"> </w:t>
      </w:r>
      <w:proofErr w:type="gramStart"/>
      <w:r>
        <w:rPr>
          <w:b/>
          <w:sz w:val="22"/>
          <w:szCs w:val="22"/>
          <w:lang w:val="en-CA"/>
        </w:rPr>
        <w:t>Presentation at the I</w:t>
      </w:r>
      <w:r w:rsidR="00EF1228">
        <w:rPr>
          <w:b/>
          <w:sz w:val="22"/>
          <w:szCs w:val="22"/>
          <w:lang w:val="en-CA"/>
        </w:rPr>
        <w:t xml:space="preserve">nternational </w:t>
      </w:r>
      <w:r>
        <w:rPr>
          <w:b/>
          <w:sz w:val="22"/>
          <w:szCs w:val="22"/>
          <w:lang w:val="en-CA"/>
        </w:rPr>
        <w:t>T</w:t>
      </w:r>
      <w:r w:rsidR="00EF1228">
        <w:rPr>
          <w:b/>
          <w:sz w:val="22"/>
          <w:szCs w:val="22"/>
          <w:lang w:val="en-CA"/>
        </w:rPr>
        <w:t xml:space="preserve">otal </w:t>
      </w:r>
      <w:r>
        <w:rPr>
          <w:b/>
          <w:sz w:val="22"/>
          <w:szCs w:val="22"/>
          <w:lang w:val="en-CA"/>
        </w:rPr>
        <w:t>S</w:t>
      </w:r>
      <w:r w:rsidR="00EF1228">
        <w:rPr>
          <w:b/>
          <w:sz w:val="22"/>
          <w:szCs w:val="22"/>
          <w:lang w:val="en-CA"/>
        </w:rPr>
        <w:t xml:space="preserve">urvey </w:t>
      </w:r>
      <w:r>
        <w:rPr>
          <w:b/>
          <w:sz w:val="22"/>
          <w:szCs w:val="22"/>
          <w:lang w:val="en-CA"/>
        </w:rPr>
        <w:t>E</w:t>
      </w:r>
      <w:r w:rsidR="00EF1228">
        <w:rPr>
          <w:b/>
          <w:sz w:val="22"/>
          <w:szCs w:val="22"/>
          <w:lang w:val="en-CA"/>
        </w:rPr>
        <w:t xml:space="preserve">rror </w:t>
      </w:r>
      <w:r>
        <w:rPr>
          <w:b/>
          <w:sz w:val="22"/>
          <w:szCs w:val="22"/>
          <w:lang w:val="en-CA"/>
        </w:rPr>
        <w:t>W</w:t>
      </w:r>
      <w:r w:rsidR="00EF1228">
        <w:rPr>
          <w:b/>
          <w:sz w:val="22"/>
          <w:szCs w:val="22"/>
          <w:lang w:val="en-CA"/>
        </w:rPr>
        <w:t>orkshop</w:t>
      </w:r>
      <w:r>
        <w:rPr>
          <w:b/>
          <w:sz w:val="22"/>
          <w:szCs w:val="22"/>
          <w:lang w:val="en-CA"/>
        </w:rPr>
        <w:t xml:space="preserve"> 2011.</w:t>
      </w:r>
      <w:proofErr w:type="gramEnd"/>
      <w:r w:rsidR="00EF1228">
        <w:rPr>
          <w:b/>
          <w:sz w:val="22"/>
          <w:szCs w:val="22"/>
          <w:lang w:val="en-CA"/>
        </w:rPr>
        <w:t xml:space="preserve"> </w:t>
      </w:r>
    </w:p>
    <w:p w:rsidR="00EF1228" w:rsidRDefault="00EF1228" w:rsidP="004E7C8C">
      <w:pPr>
        <w:ind w:left="720" w:hanging="720"/>
        <w:rPr>
          <w:b/>
          <w:sz w:val="22"/>
          <w:szCs w:val="22"/>
          <w:lang w:val="en-CA"/>
        </w:rPr>
      </w:pPr>
    </w:p>
    <w:p w:rsidR="00EF1228" w:rsidRDefault="00EF1228" w:rsidP="004E7C8C">
      <w:pPr>
        <w:ind w:left="720" w:hanging="720"/>
        <w:jc w:val="center"/>
        <w:rPr>
          <w:b/>
          <w:sz w:val="22"/>
          <w:szCs w:val="22"/>
          <w:u w:val="single"/>
          <w:lang w:val="en-CA"/>
        </w:rPr>
      </w:pPr>
    </w:p>
    <w:p w:rsidR="004E7C8C" w:rsidRPr="008138C7" w:rsidRDefault="004E7C8C" w:rsidP="004E7C8C">
      <w:pPr>
        <w:ind w:left="720" w:hanging="720"/>
        <w:jc w:val="center"/>
        <w:rPr>
          <w:b/>
          <w:sz w:val="22"/>
          <w:szCs w:val="22"/>
          <w:u w:val="single"/>
          <w:lang w:val="en-CA"/>
        </w:rPr>
      </w:pPr>
      <w:r w:rsidRPr="008138C7">
        <w:rPr>
          <w:b/>
          <w:sz w:val="22"/>
          <w:szCs w:val="22"/>
          <w:u w:val="single"/>
          <w:lang w:val="en-CA"/>
        </w:rPr>
        <w:lastRenderedPageBreak/>
        <w:t>Appendix</w:t>
      </w:r>
    </w:p>
    <w:p w:rsidR="004E7C8C" w:rsidRDefault="004E7C8C" w:rsidP="004E7C8C">
      <w:pPr>
        <w:ind w:left="720" w:hanging="720"/>
        <w:rPr>
          <w:sz w:val="22"/>
          <w:szCs w:val="22"/>
          <w:lang w:val="en-CA"/>
        </w:rPr>
      </w:pPr>
    </w:p>
    <w:p w:rsidR="004E7C8C" w:rsidRDefault="004E7C8C" w:rsidP="004E7C8C">
      <w:pPr>
        <w:ind w:left="720" w:hanging="720"/>
        <w:rPr>
          <w:sz w:val="22"/>
          <w:szCs w:val="22"/>
          <w:lang w:val="en-CA"/>
        </w:rPr>
      </w:pPr>
      <w:r w:rsidRPr="008138C7">
        <w:rPr>
          <w:sz w:val="22"/>
          <w:szCs w:val="22"/>
          <w:u w:val="single"/>
          <w:lang w:val="en-CA"/>
        </w:rPr>
        <w:t>Calibration totals for the 2011 NHS</w:t>
      </w:r>
      <w:r>
        <w:rPr>
          <w:sz w:val="22"/>
          <w:szCs w:val="22"/>
          <w:lang w:val="en-CA"/>
        </w:rPr>
        <w:t>:</w:t>
      </w:r>
    </w:p>
    <w:p w:rsidR="004E7C8C" w:rsidRDefault="004E7C8C" w:rsidP="004E7C8C">
      <w:pPr>
        <w:ind w:left="720" w:hanging="720"/>
        <w:rPr>
          <w:sz w:val="22"/>
          <w:szCs w:val="22"/>
          <w:lang w:val="en-CA"/>
        </w:rPr>
      </w:pPr>
    </w:p>
    <w:tbl>
      <w:tblPr>
        <w:tblStyle w:val="Grilledutableau"/>
        <w:tblW w:w="0" w:type="auto"/>
        <w:tblBorders>
          <w:insideH w:val="none" w:sz="0" w:space="0" w:color="auto"/>
        </w:tblBorders>
        <w:tblLayout w:type="fixed"/>
        <w:tblCellMar>
          <w:left w:w="115" w:type="dxa"/>
          <w:right w:w="115" w:type="dxa"/>
        </w:tblCellMar>
        <w:tblLook w:val="04A0"/>
      </w:tblPr>
      <w:tblGrid>
        <w:gridCol w:w="4608"/>
        <w:gridCol w:w="2347"/>
        <w:gridCol w:w="1170"/>
        <w:gridCol w:w="1451"/>
      </w:tblGrid>
      <w:tr w:rsidR="004E7C8C" w:rsidTr="004E7C8C">
        <w:trPr>
          <w:trHeight w:val="422"/>
        </w:trPr>
        <w:tc>
          <w:tcPr>
            <w:tcW w:w="4608" w:type="dxa"/>
            <w:vMerge w:val="restart"/>
          </w:tcPr>
          <w:p w:rsidR="004E7C8C" w:rsidRPr="008138C7" w:rsidRDefault="004E7C8C" w:rsidP="004E7C8C">
            <w:pPr>
              <w:numPr>
                <w:ilvl w:val="0"/>
                <w:numId w:val="1"/>
              </w:numPr>
              <w:rPr>
                <w:sz w:val="22"/>
                <w:szCs w:val="22"/>
                <w:lang w:val="en-CA"/>
              </w:rPr>
            </w:pPr>
            <w:r w:rsidRPr="008138C7">
              <w:rPr>
                <w:sz w:val="22"/>
                <w:szCs w:val="22"/>
                <w:lang w:val="en-CA"/>
              </w:rPr>
              <w:t>Population by sex</w:t>
            </w:r>
          </w:p>
          <w:p w:rsidR="004E7C8C" w:rsidRPr="008138C7" w:rsidRDefault="004E7C8C" w:rsidP="004E7C8C">
            <w:pPr>
              <w:numPr>
                <w:ilvl w:val="0"/>
                <w:numId w:val="1"/>
              </w:numPr>
              <w:rPr>
                <w:sz w:val="22"/>
                <w:szCs w:val="22"/>
                <w:lang w:val="en-CA"/>
              </w:rPr>
            </w:pPr>
            <w:r w:rsidRPr="008138C7">
              <w:rPr>
                <w:sz w:val="22"/>
                <w:szCs w:val="22"/>
                <w:lang w:val="en-CA"/>
              </w:rPr>
              <w:t>Population 15+ by sex</w:t>
            </w:r>
          </w:p>
          <w:p w:rsidR="004E7C8C" w:rsidRPr="008138C7" w:rsidRDefault="004E7C8C" w:rsidP="004E7C8C">
            <w:pPr>
              <w:numPr>
                <w:ilvl w:val="0"/>
                <w:numId w:val="1"/>
              </w:numPr>
              <w:rPr>
                <w:sz w:val="22"/>
                <w:szCs w:val="22"/>
                <w:lang w:val="en-CA"/>
              </w:rPr>
            </w:pPr>
            <w:r w:rsidRPr="008138C7">
              <w:rPr>
                <w:sz w:val="22"/>
                <w:szCs w:val="22"/>
                <w:lang w:val="en-CA"/>
              </w:rPr>
              <w:t>Population by 5-year age groups</w:t>
            </w:r>
            <w:r>
              <w:rPr>
                <w:sz w:val="22"/>
                <w:szCs w:val="22"/>
                <w:lang w:val="en-CA"/>
              </w:rPr>
              <w:t>, from 0-4 to 75+</w:t>
            </w:r>
          </w:p>
          <w:p w:rsidR="004E7C8C" w:rsidRPr="008138C7" w:rsidRDefault="004E7C8C" w:rsidP="004E7C8C">
            <w:pPr>
              <w:numPr>
                <w:ilvl w:val="0"/>
                <w:numId w:val="1"/>
              </w:numPr>
              <w:rPr>
                <w:sz w:val="22"/>
                <w:szCs w:val="22"/>
                <w:lang w:val="en-CA"/>
              </w:rPr>
            </w:pPr>
            <w:r w:rsidRPr="008138C7">
              <w:rPr>
                <w:sz w:val="22"/>
                <w:szCs w:val="22"/>
                <w:lang w:val="en-CA"/>
              </w:rPr>
              <w:t>Population by marital status</w:t>
            </w:r>
          </w:p>
          <w:p w:rsidR="004E7C8C" w:rsidRPr="008138C7" w:rsidRDefault="004E7C8C" w:rsidP="004E7C8C">
            <w:pPr>
              <w:numPr>
                <w:ilvl w:val="0"/>
                <w:numId w:val="1"/>
              </w:numPr>
              <w:rPr>
                <w:sz w:val="22"/>
                <w:szCs w:val="22"/>
                <w:lang w:val="en-CA"/>
              </w:rPr>
            </w:pPr>
            <w:r w:rsidRPr="008138C7">
              <w:rPr>
                <w:sz w:val="22"/>
                <w:szCs w:val="22"/>
                <w:lang w:val="en-CA"/>
              </w:rPr>
              <w:t>Population by family characteristics</w:t>
            </w:r>
          </w:p>
          <w:p w:rsidR="004E7C8C" w:rsidRPr="008138C7" w:rsidRDefault="004E7C8C" w:rsidP="004E7C8C">
            <w:pPr>
              <w:numPr>
                <w:ilvl w:val="1"/>
                <w:numId w:val="1"/>
              </w:numPr>
              <w:rPr>
                <w:sz w:val="22"/>
                <w:szCs w:val="22"/>
                <w:lang w:val="en-CA"/>
              </w:rPr>
            </w:pPr>
            <w:r w:rsidRPr="008138C7">
              <w:rPr>
                <w:sz w:val="22"/>
                <w:szCs w:val="22"/>
                <w:lang w:val="en-CA"/>
              </w:rPr>
              <w:t>Persons in census families</w:t>
            </w:r>
          </w:p>
          <w:p w:rsidR="004E7C8C" w:rsidRPr="008138C7" w:rsidRDefault="004E7C8C" w:rsidP="004E7C8C">
            <w:pPr>
              <w:numPr>
                <w:ilvl w:val="2"/>
                <w:numId w:val="1"/>
              </w:numPr>
              <w:rPr>
                <w:sz w:val="22"/>
                <w:szCs w:val="22"/>
                <w:lang w:val="en-CA"/>
              </w:rPr>
            </w:pPr>
            <w:r w:rsidRPr="008138C7">
              <w:rPr>
                <w:color w:val="000000"/>
                <w:sz w:val="22"/>
                <w:szCs w:val="22"/>
              </w:rPr>
              <w:t>Persons in opposite-sex couples</w:t>
            </w:r>
          </w:p>
          <w:p w:rsidR="004E7C8C" w:rsidRPr="008138C7" w:rsidRDefault="004E7C8C" w:rsidP="004E7C8C">
            <w:pPr>
              <w:numPr>
                <w:ilvl w:val="2"/>
                <w:numId w:val="1"/>
              </w:numPr>
              <w:rPr>
                <w:sz w:val="22"/>
                <w:szCs w:val="22"/>
                <w:lang w:val="en-CA"/>
              </w:rPr>
            </w:pPr>
            <w:r w:rsidRPr="008138C7">
              <w:rPr>
                <w:color w:val="000000"/>
                <w:sz w:val="22"/>
                <w:szCs w:val="22"/>
              </w:rPr>
              <w:t>Persons in same-sex couples</w:t>
            </w:r>
          </w:p>
          <w:p w:rsidR="004E7C8C" w:rsidRPr="008138C7" w:rsidRDefault="004E7C8C" w:rsidP="004E7C8C">
            <w:pPr>
              <w:numPr>
                <w:ilvl w:val="2"/>
                <w:numId w:val="1"/>
              </w:numPr>
              <w:rPr>
                <w:sz w:val="22"/>
                <w:szCs w:val="22"/>
                <w:lang w:val="en-CA"/>
              </w:rPr>
            </w:pPr>
            <w:r w:rsidRPr="008138C7">
              <w:rPr>
                <w:color w:val="000000"/>
                <w:sz w:val="22"/>
                <w:szCs w:val="22"/>
              </w:rPr>
              <w:t>Lone parents</w:t>
            </w:r>
          </w:p>
          <w:p w:rsidR="004E7C8C" w:rsidRPr="008138C7" w:rsidRDefault="004E7C8C" w:rsidP="004E7C8C">
            <w:pPr>
              <w:numPr>
                <w:ilvl w:val="2"/>
                <w:numId w:val="1"/>
              </w:numPr>
              <w:rPr>
                <w:sz w:val="22"/>
                <w:szCs w:val="22"/>
                <w:lang w:val="en-CA"/>
              </w:rPr>
            </w:pPr>
            <w:r w:rsidRPr="008138C7">
              <w:rPr>
                <w:color w:val="000000"/>
                <w:sz w:val="22"/>
                <w:szCs w:val="22"/>
              </w:rPr>
              <w:t>Children</w:t>
            </w:r>
          </w:p>
          <w:p w:rsidR="004E7C8C" w:rsidRPr="008138C7" w:rsidRDefault="004E7C8C" w:rsidP="004E7C8C">
            <w:pPr>
              <w:numPr>
                <w:ilvl w:val="1"/>
                <w:numId w:val="1"/>
              </w:numPr>
              <w:rPr>
                <w:sz w:val="22"/>
                <w:szCs w:val="22"/>
                <w:lang w:val="en-CA"/>
              </w:rPr>
            </w:pPr>
            <w:r w:rsidRPr="008138C7">
              <w:rPr>
                <w:color w:val="000000"/>
                <w:sz w:val="22"/>
                <w:szCs w:val="22"/>
              </w:rPr>
              <w:t>Persons not in Census Family</w:t>
            </w:r>
          </w:p>
          <w:p w:rsidR="004E7C8C" w:rsidRPr="008138C7" w:rsidRDefault="004E7C8C" w:rsidP="004E7C8C">
            <w:pPr>
              <w:numPr>
                <w:ilvl w:val="1"/>
                <w:numId w:val="1"/>
              </w:numPr>
              <w:rPr>
                <w:sz w:val="22"/>
                <w:szCs w:val="22"/>
                <w:lang w:val="en-CA"/>
              </w:rPr>
            </w:pPr>
            <w:r w:rsidRPr="008138C7">
              <w:rPr>
                <w:color w:val="000000"/>
                <w:sz w:val="22"/>
                <w:szCs w:val="22"/>
              </w:rPr>
              <w:t>Persons in Economic Families</w:t>
            </w:r>
          </w:p>
          <w:p w:rsidR="004E7C8C" w:rsidRPr="008138C7" w:rsidRDefault="004E7C8C" w:rsidP="004E7C8C">
            <w:pPr>
              <w:numPr>
                <w:ilvl w:val="1"/>
                <w:numId w:val="1"/>
              </w:numPr>
              <w:rPr>
                <w:sz w:val="22"/>
                <w:szCs w:val="22"/>
                <w:lang w:val="en-CA"/>
              </w:rPr>
            </w:pPr>
            <w:r w:rsidRPr="008138C7">
              <w:rPr>
                <w:color w:val="000000"/>
                <w:sz w:val="22"/>
                <w:szCs w:val="22"/>
              </w:rPr>
              <w:t>Persons not in Economic Families</w:t>
            </w:r>
          </w:p>
          <w:p w:rsidR="004E7C8C" w:rsidRPr="008138C7" w:rsidRDefault="004E7C8C" w:rsidP="004E7C8C">
            <w:pPr>
              <w:numPr>
                <w:ilvl w:val="0"/>
                <w:numId w:val="1"/>
              </w:numPr>
              <w:rPr>
                <w:sz w:val="22"/>
                <w:szCs w:val="22"/>
                <w:lang w:val="en-CA"/>
              </w:rPr>
            </w:pPr>
            <w:r w:rsidRPr="008138C7">
              <w:rPr>
                <w:color w:val="000000"/>
                <w:sz w:val="22"/>
                <w:szCs w:val="22"/>
              </w:rPr>
              <w:t>Census families by family characteristics</w:t>
            </w:r>
          </w:p>
          <w:p w:rsidR="004E7C8C" w:rsidRPr="008138C7" w:rsidRDefault="004E7C8C" w:rsidP="004E7C8C">
            <w:pPr>
              <w:numPr>
                <w:ilvl w:val="1"/>
                <w:numId w:val="1"/>
              </w:numPr>
              <w:rPr>
                <w:sz w:val="22"/>
                <w:szCs w:val="22"/>
                <w:lang w:val="en-CA"/>
              </w:rPr>
            </w:pPr>
            <w:r w:rsidRPr="008138C7">
              <w:rPr>
                <w:color w:val="000000"/>
                <w:sz w:val="22"/>
                <w:szCs w:val="22"/>
              </w:rPr>
              <w:t>Census families without children</w:t>
            </w:r>
          </w:p>
          <w:p w:rsidR="004E7C8C" w:rsidRPr="008138C7" w:rsidRDefault="004E7C8C" w:rsidP="004E7C8C">
            <w:pPr>
              <w:numPr>
                <w:ilvl w:val="1"/>
                <w:numId w:val="1"/>
              </w:numPr>
              <w:rPr>
                <w:sz w:val="22"/>
                <w:szCs w:val="22"/>
                <w:lang w:val="en-CA"/>
              </w:rPr>
            </w:pPr>
            <w:r w:rsidRPr="008138C7">
              <w:rPr>
                <w:color w:val="000000"/>
                <w:sz w:val="22"/>
                <w:szCs w:val="22"/>
              </w:rPr>
              <w:t>Census families with children</w:t>
            </w:r>
          </w:p>
          <w:p w:rsidR="004E7C8C" w:rsidRPr="008138C7" w:rsidRDefault="004E7C8C" w:rsidP="004E7C8C">
            <w:pPr>
              <w:numPr>
                <w:ilvl w:val="0"/>
                <w:numId w:val="1"/>
              </w:numPr>
              <w:rPr>
                <w:sz w:val="22"/>
                <w:szCs w:val="22"/>
                <w:lang w:val="en-CA"/>
              </w:rPr>
            </w:pPr>
            <w:r w:rsidRPr="008138C7">
              <w:rPr>
                <w:color w:val="000000"/>
                <w:sz w:val="22"/>
                <w:szCs w:val="22"/>
              </w:rPr>
              <w:t>Households by dwelling type</w:t>
            </w:r>
          </w:p>
          <w:p w:rsidR="004E7C8C" w:rsidRPr="008138C7" w:rsidRDefault="004E7C8C" w:rsidP="004E7C8C">
            <w:pPr>
              <w:numPr>
                <w:ilvl w:val="1"/>
                <w:numId w:val="1"/>
              </w:numPr>
              <w:rPr>
                <w:sz w:val="22"/>
                <w:szCs w:val="22"/>
                <w:lang w:val="en-CA"/>
              </w:rPr>
            </w:pPr>
            <w:r w:rsidRPr="008138C7">
              <w:rPr>
                <w:color w:val="000000"/>
                <w:sz w:val="22"/>
                <w:szCs w:val="22"/>
              </w:rPr>
              <w:t>Single detached household</w:t>
            </w:r>
          </w:p>
          <w:p w:rsidR="004E7C8C" w:rsidRPr="008138C7" w:rsidRDefault="004E7C8C" w:rsidP="004E7C8C">
            <w:pPr>
              <w:numPr>
                <w:ilvl w:val="1"/>
                <w:numId w:val="1"/>
              </w:numPr>
              <w:rPr>
                <w:sz w:val="22"/>
                <w:szCs w:val="22"/>
                <w:lang w:val="en-CA"/>
              </w:rPr>
            </w:pPr>
            <w:r w:rsidRPr="008138C7">
              <w:rPr>
                <w:color w:val="000000"/>
                <w:sz w:val="22"/>
                <w:szCs w:val="22"/>
              </w:rPr>
              <w:t>Apartment &lt;= 5 Stories</w:t>
            </w:r>
          </w:p>
          <w:p w:rsidR="004E7C8C" w:rsidRPr="008138C7" w:rsidRDefault="004E7C8C" w:rsidP="004E7C8C">
            <w:pPr>
              <w:numPr>
                <w:ilvl w:val="0"/>
                <w:numId w:val="1"/>
              </w:numPr>
              <w:rPr>
                <w:sz w:val="22"/>
                <w:szCs w:val="22"/>
                <w:lang w:val="en-CA"/>
              </w:rPr>
            </w:pPr>
            <w:r w:rsidRPr="008138C7">
              <w:rPr>
                <w:color w:val="000000"/>
                <w:sz w:val="22"/>
                <w:szCs w:val="22"/>
              </w:rPr>
              <w:t>Households by size</w:t>
            </w:r>
            <w:r>
              <w:rPr>
                <w:color w:val="000000"/>
                <w:sz w:val="22"/>
                <w:szCs w:val="22"/>
              </w:rPr>
              <w:t>, from 1 to 5+</w:t>
            </w:r>
          </w:p>
          <w:p w:rsidR="004E7C8C" w:rsidRPr="00DA2365" w:rsidRDefault="004E7C8C" w:rsidP="004E7C8C">
            <w:pPr>
              <w:numPr>
                <w:ilvl w:val="0"/>
                <w:numId w:val="1"/>
              </w:numPr>
              <w:rPr>
                <w:sz w:val="22"/>
                <w:szCs w:val="22"/>
                <w:lang w:val="en-CA"/>
              </w:rPr>
            </w:pPr>
            <w:r w:rsidRPr="008138C7">
              <w:rPr>
                <w:color w:val="000000"/>
                <w:sz w:val="22"/>
                <w:szCs w:val="22"/>
              </w:rPr>
              <w:t>Farm operators</w:t>
            </w:r>
          </w:p>
        </w:tc>
        <w:tc>
          <w:tcPr>
            <w:tcW w:w="4968" w:type="dxa"/>
            <w:gridSpan w:val="3"/>
            <w:tcBorders>
              <w:bottom w:val="single" w:sz="4" w:space="0" w:color="auto"/>
            </w:tcBorders>
          </w:tcPr>
          <w:p w:rsidR="004E7C8C" w:rsidRPr="00CB0481" w:rsidRDefault="004E7C8C" w:rsidP="004E7C8C">
            <w:pPr>
              <w:numPr>
                <w:ilvl w:val="0"/>
                <w:numId w:val="1"/>
              </w:numPr>
              <w:rPr>
                <w:sz w:val="22"/>
                <w:szCs w:val="22"/>
                <w:lang w:val="en-CA"/>
              </w:rPr>
            </w:pPr>
            <w:r w:rsidRPr="008138C7">
              <w:rPr>
                <w:color w:val="000000"/>
                <w:sz w:val="22"/>
                <w:szCs w:val="22"/>
              </w:rPr>
              <w:t>Population by language characteristics</w:t>
            </w:r>
          </w:p>
        </w:tc>
      </w:tr>
      <w:tr w:rsidR="004E7C8C" w:rsidTr="004E7C8C">
        <w:trPr>
          <w:trHeight w:val="620"/>
        </w:trPr>
        <w:tc>
          <w:tcPr>
            <w:tcW w:w="4608" w:type="dxa"/>
            <w:vMerge/>
          </w:tcPr>
          <w:p w:rsidR="004E7C8C" w:rsidRPr="008138C7" w:rsidRDefault="004E7C8C" w:rsidP="004E7C8C">
            <w:pPr>
              <w:numPr>
                <w:ilvl w:val="0"/>
                <w:numId w:val="1"/>
              </w:numPr>
              <w:rPr>
                <w:sz w:val="22"/>
                <w:szCs w:val="22"/>
                <w:lang w:val="en-CA"/>
              </w:rPr>
            </w:pPr>
          </w:p>
        </w:tc>
        <w:tc>
          <w:tcPr>
            <w:tcW w:w="2347" w:type="dxa"/>
            <w:tcBorders>
              <w:top w:val="single" w:sz="4" w:space="0" w:color="auto"/>
              <w:bottom w:val="single" w:sz="4" w:space="0" w:color="auto"/>
            </w:tcBorders>
          </w:tcPr>
          <w:p w:rsidR="004E7C8C" w:rsidRPr="008138C7" w:rsidRDefault="004E7C8C" w:rsidP="004E7C8C">
            <w:pPr>
              <w:rPr>
                <w:color w:val="000000"/>
                <w:sz w:val="22"/>
                <w:szCs w:val="22"/>
              </w:rPr>
            </w:pPr>
            <w:r w:rsidRPr="008138C7">
              <w:rPr>
                <w:color w:val="000000"/>
                <w:sz w:val="22"/>
                <w:szCs w:val="22"/>
              </w:rPr>
              <w:t>Mother Tongue</w:t>
            </w:r>
          </w:p>
        </w:tc>
        <w:tc>
          <w:tcPr>
            <w:tcW w:w="1170" w:type="dxa"/>
            <w:tcBorders>
              <w:top w:val="single" w:sz="4" w:space="0" w:color="auto"/>
              <w:bottom w:val="single" w:sz="4" w:space="0" w:color="auto"/>
            </w:tcBorders>
          </w:tcPr>
          <w:p w:rsidR="004E7C8C" w:rsidRPr="008138C7" w:rsidRDefault="004E7C8C" w:rsidP="004E7C8C">
            <w:pPr>
              <w:rPr>
                <w:color w:val="000000"/>
                <w:sz w:val="22"/>
                <w:szCs w:val="22"/>
              </w:rPr>
            </w:pPr>
            <w:r w:rsidRPr="008138C7">
              <w:rPr>
                <w:color w:val="000000"/>
                <w:sz w:val="22"/>
                <w:szCs w:val="22"/>
              </w:rPr>
              <w:t>Home Language</w:t>
            </w:r>
          </w:p>
        </w:tc>
        <w:tc>
          <w:tcPr>
            <w:tcW w:w="1451" w:type="dxa"/>
            <w:tcBorders>
              <w:top w:val="single" w:sz="4" w:space="0" w:color="auto"/>
              <w:bottom w:val="single" w:sz="4" w:space="0" w:color="auto"/>
            </w:tcBorders>
          </w:tcPr>
          <w:p w:rsidR="004E7C8C" w:rsidRPr="008138C7" w:rsidRDefault="004E7C8C" w:rsidP="004E7C8C">
            <w:pPr>
              <w:rPr>
                <w:color w:val="000000"/>
                <w:sz w:val="22"/>
                <w:szCs w:val="22"/>
              </w:rPr>
            </w:pPr>
            <w:r w:rsidRPr="008138C7">
              <w:rPr>
                <w:color w:val="000000"/>
                <w:sz w:val="22"/>
                <w:szCs w:val="22"/>
              </w:rPr>
              <w:t>Official Language</w:t>
            </w:r>
          </w:p>
        </w:tc>
      </w:tr>
      <w:tr w:rsidR="004E7C8C" w:rsidTr="004E7C8C">
        <w:trPr>
          <w:trHeight w:val="247"/>
        </w:trPr>
        <w:tc>
          <w:tcPr>
            <w:tcW w:w="4608" w:type="dxa"/>
            <w:vMerge/>
          </w:tcPr>
          <w:p w:rsidR="004E7C8C" w:rsidRPr="008138C7" w:rsidRDefault="004E7C8C" w:rsidP="004E7C8C">
            <w:pPr>
              <w:numPr>
                <w:ilvl w:val="0"/>
                <w:numId w:val="1"/>
              </w:numPr>
              <w:rPr>
                <w:sz w:val="22"/>
                <w:szCs w:val="22"/>
                <w:lang w:val="en-CA"/>
              </w:rPr>
            </w:pPr>
          </w:p>
        </w:tc>
        <w:tc>
          <w:tcPr>
            <w:tcW w:w="2347" w:type="dxa"/>
            <w:tcBorders>
              <w:top w:val="single" w:sz="4" w:space="0" w:color="auto"/>
            </w:tcBorders>
            <w:vAlign w:val="bottom"/>
          </w:tcPr>
          <w:p w:rsidR="004E7C8C" w:rsidRPr="008138C7" w:rsidRDefault="004E7C8C" w:rsidP="004E7C8C">
            <w:pPr>
              <w:rPr>
                <w:color w:val="000000"/>
                <w:sz w:val="22"/>
                <w:szCs w:val="22"/>
              </w:rPr>
            </w:pPr>
            <w:r w:rsidRPr="008138C7">
              <w:rPr>
                <w:color w:val="000000"/>
                <w:sz w:val="22"/>
                <w:szCs w:val="22"/>
              </w:rPr>
              <w:t>English</w:t>
            </w:r>
          </w:p>
        </w:tc>
        <w:tc>
          <w:tcPr>
            <w:tcW w:w="1170" w:type="dxa"/>
            <w:tcBorders>
              <w:top w:val="single" w:sz="4" w:space="0" w:color="auto"/>
            </w:tcBorders>
            <w:vAlign w:val="bottom"/>
          </w:tcPr>
          <w:p w:rsidR="004E7C8C" w:rsidRPr="008138C7" w:rsidRDefault="004E7C8C" w:rsidP="004E7C8C">
            <w:pPr>
              <w:rPr>
                <w:color w:val="000000"/>
                <w:sz w:val="22"/>
                <w:szCs w:val="22"/>
              </w:rPr>
            </w:pPr>
            <w:r w:rsidRPr="008138C7">
              <w:rPr>
                <w:color w:val="000000"/>
                <w:sz w:val="22"/>
                <w:szCs w:val="22"/>
              </w:rPr>
              <w:t>English</w:t>
            </w:r>
          </w:p>
        </w:tc>
        <w:tc>
          <w:tcPr>
            <w:tcW w:w="1451" w:type="dxa"/>
            <w:tcBorders>
              <w:top w:val="single" w:sz="4" w:space="0" w:color="auto"/>
            </w:tcBorders>
            <w:vAlign w:val="bottom"/>
          </w:tcPr>
          <w:p w:rsidR="004E7C8C" w:rsidRPr="008138C7" w:rsidRDefault="004E7C8C" w:rsidP="004E7C8C">
            <w:pPr>
              <w:rPr>
                <w:color w:val="000000"/>
                <w:sz w:val="22"/>
                <w:szCs w:val="22"/>
              </w:rPr>
            </w:pPr>
            <w:r w:rsidRPr="008138C7">
              <w:rPr>
                <w:color w:val="000000"/>
                <w:sz w:val="22"/>
                <w:szCs w:val="22"/>
              </w:rPr>
              <w:t>English Only</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vAlign w:val="bottom"/>
          </w:tcPr>
          <w:p w:rsidR="004E7C8C" w:rsidRPr="008138C7" w:rsidRDefault="004E7C8C" w:rsidP="004E7C8C">
            <w:pPr>
              <w:rPr>
                <w:color w:val="000000"/>
                <w:sz w:val="22"/>
                <w:szCs w:val="22"/>
              </w:rPr>
            </w:pPr>
            <w:r w:rsidRPr="008138C7">
              <w:rPr>
                <w:color w:val="000000"/>
                <w:sz w:val="22"/>
                <w:szCs w:val="22"/>
              </w:rPr>
              <w:t>French</w:t>
            </w:r>
          </w:p>
        </w:tc>
        <w:tc>
          <w:tcPr>
            <w:tcW w:w="1170" w:type="dxa"/>
            <w:vAlign w:val="bottom"/>
          </w:tcPr>
          <w:p w:rsidR="004E7C8C" w:rsidRPr="008138C7" w:rsidRDefault="004E7C8C" w:rsidP="004E7C8C">
            <w:pPr>
              <w:rPr>
                <w:color w:val="000000"/>
                <w:sz w:val="22"/>
                <w:szCs w:val="22"/>
              </w:rPr>
            </w:pPr>
            <w:r w:rsidRPr="008138C7">
              <w:rPr>
                <w:color w:val="000000"/>
                <w:sz w:val="22"/>
                <w:szCs w:val="22"/>
              </w:rPr>
              <w:t>French</w:t>
            </w:r>
          </w:p>
        </w:tc>
        <w:tc>
          <w:tcPr>
            <w:tcW w:w="1451" w:type="dxa"/>
            <w:vAlign w:val="bottom"/>
          </w:tcPr>
          <w:p w:rsidR="004E7C8C" w:rsidRPr="008138C7" w:rsidRDefault="004E7C8C" w:rsidP="004E7C8C">
            <w:pPr>
              <w:rPr>
                <w:color w:val="000000"/>
                <w:sz w:val="22"/>
                <w:szCs w:val="22"/>
              </w:rPr>
            </w:pPr>
            <w:r w:rsidRPr="008138C7">
              <w:rPr>
                <w:color w:val="000000"/>
                <w:sz w:val="22"/>
                <w:szCs w:val="22"/>
              </w:rPr>
              <w:t>French Only</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vAlign w:val="bottom"/>
          </w:tcPr>
          <w:p w:rsidR="004E7C8C" w:rsidRPr="008138C7" w:rsidRDefault="004E7C8C" w:rsidP="004E7C8C">
            <w:pPr>
              <w:rPr>
                <w:color w:val="000000"/>
                <w:sz w:val="22"/>
                <w:szCs w:val="22"/>
              </w:rPr>
            </w:pPr>
            <w:r w:rsidRPr="008138C7">
              <w:rPr>
                <w:color w:val="000000"/>
                <w:sz w:val="22"/>
                <w:szCs w:val="22"/>
              </w:rPr>
              <w:t>French</w:t>
            </w:r>
          </w:p>
        </w:tc>
        <w:tc>
          <w:tcPr>
            <w:tcW w:w="1170" w:type="dxa"/>
            <w:vAlign w:val="bottom"/>
          </w:tcPr>
          <w:p w:rsidR="004E7C8C" w:rsidRPr="008138C7" w:rsidRDefault="004E7C8C" w:rsidP="004E7C8C">
            <w:pPr>
              <w:rPr>
                <w:color w:val="000000"/>
                <w:sz w:val="22"/>
                <w:szCs w:val="22"/>
              </w:rPr>
            </w:pPr>
            <w:r w:rsidRPr="008138C7">
              <w:rPr>
                <w:color w:val="000000"/>
                <w:sz w:val="22"/>
                <w:szCs w:val="22"/>
              </w:rPr>
              <w:t>French</w:t>
            </w:r>
          </w:p>
        </w:tc>
        <w:tc>
          <w:tcPr>
            <w:tcW w:w="1451" w:type="dxa"/>
            <w:vAlign w:val="bottom"/>
          </w:tcPr>
          <w:p w:rsidR="004E7C8C" w:rsidRPr="008138C7" w:rsidRDefault="004E7C8C" w:rsidP="004E7C8C">
            <w:pPr>
              <w:rPr>
                <w:color w:val="000000"/>
                <w:sz w:val="22"/>
                <w:szCs w:val="22"/>
              </w:rPr>
            </w:pPr>
            <w:r w:rsidRPr="008138C7">
              <w:rPr>
                <w:color w:val="000000"/>
                <w:sz w:val="22"/>
                <w:szCs w:val="22"/>
              </w:rPr>
              <w:t>Bilingual</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vAlign w:val="bottom"/>
          </w:tcPr>
          <w:p w:rsidR="004E7C8C" w:rsidRPr="008138C7" w:rsidRDefault="004E7C8C" w:rsidP="004E7C8C">
            <w:pPr>
              <w:rPr>
                <w:color w:val="000000"/>
                <w:sz w:val="22"/>
                <w:szCs w:val="22"/>
              </w:rPr>
            </w:pPr>
            <w:r w:rsidRPr="008138C7">
              <w:rPr>
                <w:color w:val="000000"/>
                <w:sz w:val="22"/>
                <w:szCs w:val="22"/>
              </w:rPr>
              <w:t>English</w:t>
            </w:r>
          </w:p>
        </w:tc>
        <w:tc>
          <w:tcPr>
            <w:tcW w:w="1170" w:type="dxa"/>
            <w:vAlign w:val="bottom"/>
          </w:tcPr>
          <w:p w:rsidR="004E7C8C" w:rsidRPr="008138C7" w:rsidRDefault="004E7C8C" w:rsidP="004E7C8C">
            <w:pPr>
              <w:rPr>
                <w:color w:val="000000"/>
                <w:sz w:val="22"/>
                <w:szCs w:val="22"/>
              </w:rPr>
            </w:pPr>
            <w:r w:rsidRPr="008138C7">
              <w:rPr>
                <w:color w:val="000000"/>
                <w:sz w:val="22"/>
                <w:szCs w:val="22"/>
              </w:rPr>
              <w:t>English</w:t>
            </w:r>
          </w:p>
        </w:tc>
        <w:tc>
          <w:tcPr>
            <w:tcW w:w="1451" w:type="dxa"/>
            <w:vAlign w:val="bottom"/>
          </w:tcPr>
          <w:p w:rsidR="004E7C8C" w:rsidRPr="008138C7" w:rsidRDefault="004E7C8C" w:rsidP="004E7C8C">
            <w:pPr>
              <w:rPr>
                <w:color w:val="000000"/>
                <w:sz w:val="22"/>
                <w:szCs w:val="22"/>
              </w:rPr>
            </w:pPr>
            <w:r w:rsidRPr="008138C7">
              <w:rPr>
                <w:color w:val="000000"/>
                <w:sz w:val="22"/>
                <w:szCs w:val="22"/>
              </w:rPr>
              <w:t>Bilingual</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vAlign w:val="bottom"/>
          </w:tcPr>
          <w:p w:rsidR="004E7C8C" w:rsidRPr="008138C7" w:rsidRDefault="004E7C8C" w:rsidP="004E7C8C">
            <w:pPr>
              <w:rPr>
                <w:color w:val="000000"/>
                <w:sz w:val="22"/>
                <w:szCs w:val="22"/>
              </w:rPr>
            </w:pPr>
            <w:r w:rsidRPr="008138C7">
              <w:rPr>
                <w:color w:val="000000"/>
                <w:sz w:val="22"/>
                <w:szCs w:val="22"/>
              </w:rPr>
              <w:t>French</w:t>
            </w:r>
          </w:p>
        </w:tc>
        <w:tc>
          <w:tcPr>
            <w:tcW w:w="1170" w:type="dxa"/>
            <w:vAlign w:val="bottom"/>
          </w:tcPr>
          <w:p w:rsidR="004E7C8C" w:rsidRPr="008138C7" w:rsidRDefault="004E7C8C" w:rsidP="004E7C8C">
            <w:pPr>
              <w:rPr>
                <w:color w:val="000000"/>
                <w:sz w:val="22"/>
                <w:szCs w:val="22"/>
              </w:rPr>
            </w:pPr>
            <w:r w:rsidRPr="008138C7">
              <w:rPr>
                <w:color w:val="000000"/>
                <w:sz w:val="22"/>
                <w:szCs w:val="22"/>
              </w:rPr>
              <w:t>English</w:t>
            </w:r>
          </w:p>
        </w:tc>
        <w:tc>
          <w:tcPr>
            <w:tcW w:w="1451" w:type="dxa"/>
            <w:vAlign w:val="bottom"/>
          </w:tcPr>
          <w:p w:rsidR="004E7C8C" w:rsidRPr="008138C7" w:rsidRDefault="004E7C8C" w:rsidP="004E7C8C">
            <w:pPr>
              <w:rPr>
                <w:color w:val="000000"/>
                <w:sz w:val="22"/>
                <w:szCs w:val="22"/>
              </w:rPr>
            </w:pPr>
            <w:r w:rsidRPr="008138C7">
              <w:rPr>
                <w:color w:val="000000"/>
                <w:sz w:val="22"/>
                <w:szCs w:val="22"/>
              </w:rPr>
              <w:t>Bilingual</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Aboriginal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Chinese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Germanic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Indo-Aryan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Romance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African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Slavic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Iranian languages</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Arabic</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Pilipino</w:t>
            </w:r>
          </w:p>
        </w:tc>
        <w:tc>
          <w:tcPr>
            <w:tcW w:w="1170" w:type="dxa"/>
            <w:vAlign w:val="bottom"/>
          </w:tcPr>
          <w:p w:rsidR="004E7C8C" w:rsidRPr="008138C7" w:rsidRDefault="004E7C8C" w:rsidP="004E7C8C">
            <w:pPr>
              <w:rPr>
                <w:color w:val="000000"/>
                <w:sz w:val="22"/>
                <w:szCs w:val="22"/>
              </w:rPr>
            </w:pP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r w:rsidR="004E7C8C" w:rsidTr="004E7C8C">
        <w:trPr>
          <w:trHeight w:val="246"/>
        </w:trPr>
        <w:tc>
          <w:tcPr>
            <w:tcW w:w="4608" w:type="dxa"/>
            <w:vMerge/>
          </w:tcPr>
          <w:p w:rsidR="004E7C8C" w:rsidRPr="008138C7" w:rsidRDefault="004E7C8C" w:rsidP="004E7C8C">
            <w:pPr>
              <w:numPr>
                <w:ilvl w:val="0"/>
                <w:numId w:val="1"/>
              </w:numPr>
              <w:rPr>
                <w:sz w:val="22"/>
                <w:szCs w:val="22"/>
                <w:lang w:val="en-CA"/>
              </w:rPr>
            </w:pPr>
          </w:p>
        </w:tc>
        <w:tc>
          <w:tcPr>
            <w:tcW w:w="2347" w:type="dxa"/>
          </w:tcPr>
          <w:p w:rsidR="004E7C8C" w:rsidRPr="008138C7" w:rsidRDefault="004E7C8C" w:rsidP="004E7C8C">
            <w:pPr>
              <w:rPr>
                <w:color w:val="000000"/>
                <w:sz w:val="22"/>
                <w:szCs w:val="22"/>
              </w:rPr>
            </w:pPr>
            <w:r w:rsidRPr="008138C7">
              <w:rPr>
                <w:color w:val="000000"/>
                <w:sz w:val="22"/>
                <w:szCs w:val="22"/>
              </w:rPr>
              <w:t>Korean</w:t>
            </w:r>
          </w:p>
        </w:tc>
        <w:tc>
          <w:tcPr>
            <w:tcW w:w="1170" w:type="dxa"/>
            <w:vAlign w:val="bottom"/>
          </w:tcPr>
          <w:p w:rsidR="004E7C8C" w:rsidRPr="008138C7" w:rsidRDefault="004E7C8C" w:rsidP="004E7C8C">
            <w:pPr>
              <w:rPr>
                <w:color w:val="000000"/>
                <w:sz w:val="22"/>
                <w:szCs w:val="22"/>
              </w:rPr>
            </w:pPr>
            <w:r w:rsidRPr="008138C7">
              <w:rPr>
                <w:color w:val="000000"/>
                <w:sz w:val="22"/>
                <w:szCs w:val="22"/>
              </w:rPr>
              <w:t> </w:t>
            </w:r>
          </w:p>
        </w:tc>
        <w:tc>
          <w:tcPr>
            <w:tcW w:w="1451" w:type="dxa"/>
            <w:vAlign w:val="bottom"/>
          </w:tcPr>
          <w:p w:rsidR="004E7C8C" w:rsidRPr="008138C7" w:rsidRDefault="004E7C8C" w:rsidP="004E7C8C">
            <w:pPr>
              <w:rPr>
                <w:color w:val="000000"/>
                <w:sz w:val="22"/>
                <w:szCs w:val="22"/>
              </w:rPr>
            </w:pPr>
            <w:r w:rsidRPr="008138C7">
              <w:rPr>
                <w:color w:val="000000"/>
                <w:sz w:val="22"/>
                <w:szCs w:val="22"/>
              </w:rPr>
              <w:t> </w:t>
            </w:r>
          </w:p>
        </w:tc>
      </w:tr>
    </w:tbl>
    <w:p w:rsidR="004E7C8C" w:rsidRDefault="004E7C8C" w:rsidP="004E7C8C">
      <w:pPr>
        <w:rPr>
          <w:sz w:val="22"/>
          <w:szCs w:val="22"/>
          <w:lang w:val="en-CA"/>
        </w:rPr>
      </w:pPr>
    </w:p>
    <w:p w:rsidR="004E7C8C" w:rsidRPr="00AA5CCE" w:rsidRDefault="004E7C8C">
      <w:pPr>
        <w:rPr>
          <w:sz w:val="22"/>
          <w:szCs w:val="22"/>
          <w:lang w:val="en-CA"/>
        </w:rPr>
      </w:pPr>
    </w:p>
    <w:sectPr w:rsidR="004E7C8C" w:rsidRPr="00AA5CCE" w:rsidSect="0096271A">
      <w:footerReference w:type="default" r:id="rId12"/>
      <w:pgSz w:w="12240" w:h="15840"/>
      <w:pgMar w:top="1440" w:right="1080" w:bottom="1440"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2D0" w:rsidRDefault="004A72D0" w:rsidP="00F44895">
      <w:r>
        <w:separator/>
      </w:r>
    </w:p>
  </w:endnote>
  <w:endnote w:type="continuationSeparator" w:id="0">
    <w:p w:rsidR="004A72D0" w:rsidRDefault="004A72D0" w:rsidP="00F448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05532"/>
      <w:docPartObj>
        <w:docPartGallery w:val="Page Numbers (Bottom of Page)"/>
        <w:docPartUnique/>
      </w:docPartObj>
    </w:sdtPr>
    <w:sdtContent>
      <w:p w:rsidR="004A72D0" w:rsidRDefault="000304C6" w:rsidP="00094C9E">
        <w:pPr>
          <w:pStyle w:val="Pieddepage"/>
          <w:jc w:val="right"/>
        </w:pPr>
        <w:fldSimple w:instr=" PAGE   \* MERGEFORMAT ">
          <w:r w:rsidR="00766CFB">
            <w:rPr>
              <w:noProof/>
            </w:rPr>
            <w:t>1</w:t>
          </w:r>
        </w:fldSimple>
      </w:p>
    </w:sdtContent>
  </w:sdt>
  <w:p w:rsidR="004A72D0" w:rsidRDefault="004A72D0">
    <w:pPr>
      <w:pStyle w:val="Pieddepage"/>
    </w:pPr>
    <w:r>
      <w:t>International Workshop on Household Survey Response – September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2D0" w:rsidRDefault="004A72D0" w:rsidP="00F44895">
      <w:r>
        <w:separator/>
      </w:r>
    </w:p>
  </w:footnote>
  <w:footnote w:type="continuationSeparator" w:id="0">
    <w:p w:rsidR="004A72D0" w:rsidRDefault="004A72D0" w:rsidP="00F448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35A6F"/>
    <w:multiLevelType w:val="hybridMultilevel"/>
    <w:tmpl w:val="243A4D10"/>
    <w:lvl w:ilvl="0" w:tplc="C46CDF3C">
      <w:start w:val="1"/>
      <w:numFmt w:val="bullet"/>
      <w:lvlText w:val=""/>
      <w:lvlJc w:val="left"/>
      <w:pPr>
        <w:tabs>
          <w:tab w:val="num" w:pos="720"/>
        </w:tabs>
        <w:ind w:left="720" w:hanging="360"/>
      </w:pPr>
      <w:rPr>
        <w:rFonts w:ascii="Wingdings" w:hAnsi="Wingdings" w:hint="default"/>
      </w:rPr>
    </w:lvl>
    <w:lvl w:ilvl="1" w:tplc="8E30573A" w:tentative="1">
      <w:start w:val="1"/>
      <w:numFmt w:val="bullet"/>
      <w:lvlText w:val=""/>
      <w:lvlJc w:val="left"/>
      <w:pPr>
        <w:tabs>
          <w:tab w:val="num" w:pos="1440"/>
        </w:tabs>
        <w:ind w:left="1440" w:hanging="360"/>
      </w:pPr>
      <w:rPr>
        <w:rFonts w:ascii="Wingdings" w:hAnsi="Wingdings" w:hint="default"/>
      </w:rPr>
    </w:lvl>
    <w:lvl w:ilvl="2" w:tplc="B5F64932" w:tentative="1">
      <w:start w:val="1"/>
      <w:numFmt w:val="bullet"/>
      <w:lvlText w:val=""/>
      <w:lvlJc w:val="left"/>
      <w:pPr>
        <w:tabs>
          <w:tab w:val="num" w:pos="2160"/>
        </w:tabs>
        <w:ind w:left="2160" w:hanging="360"/>
      </w:pPr>
      <w:rPr>
        <w:rFonts w:ascii="Wingdings" w:hAnsi="Wingdings" w:hint="default"/>
      </w:rPr>
    </w:lvl>
    <w:lvl w:ilvl="3" w:tplc="5EC89B8E" w:tentative="1">
      <w:start w:val="1"/>
      <w:numFmt w:val="bullet"/>
      <w:lvlText w:val=""/>
      <w:lvlJc w:val="left"/>
      <w:pPr>
        <w:tabs>
          <w:tab w:val="num" w:pos="2880"/>
        </w:tabs>
        <w:ind w:left="2880" w:hanging="360"/>
      </w:pPr>
      <w:rPr>
        <w:rFonts w:ascii="Wingdings" w:hAnsi="Wingdings" w:hint="default"/>
      </w:rPr>
    </w:lvl>
    <w:lvl w:ilvl="4" w:tplc="FFC01182" w:tentative="1">
      <w:start w:val="1"/>
      <w:numFmt w:val="bullet"/>
      <w:lvlText w:val=""/>
      <w:lvlJc w:val="left"/>
      <w:pPr>
        <w:tabs>
          <w:tab w:val="num" w:pos="3600"/>
        </w:tabs>
        <w:ind w:left="3600" w:hanging="360"/>
      </w:pPr>
      <w:rPr>
        <w:rFonts w:ascii="Wingdings" w:hAnsi="Wingdings" w:hint="default"/>
      </w:rPr>
    </w:lvl>
    <w:lvl w:ilvl="5" w:tplc="08C4B318" w:tentative="1">
      <w:start w:val="1"/>
      <w:numFmt w:val="bullet"/>
      <w:lvlText w:val=""/>
      <w:lvlJc w:val="left"/>
      <w:pPr>
        <w:tabs>
          <w:tab w:val="num" w:pos="4320"/>
        </w:tabs>
        <w:ind w:left="4320" w:hanging="360"/>
      </w:pPr>
      <w:rPr>
        <w:rFonts w:ascii="Wingdings" w:hAnsi="Wingdings" w:hint="default"/>
      </w:rPr>
    </w:lvl>
    <w:lvl w:ilvl="6" w:tplc="26165FC8" w:tentative="1">
      <w:start w:val="1"/>
      <w:numFmt w:val="bullet"/>
      <w:lvlText w:val=""/>
      <w:lvlJc w:val="left"/>
      <w:pPr>
        <w:tabs>
          <w:tab w:val="num" w:pos="5040"/>
        </w:tabs>
        <w:ind w:left="5040" w:hanging="360"/>
      </w:pPr>
      <w:rPr>
        <w:rFonts w:ascii="Wingdings" w:hAnsi="Wingdings" w:hint="default"/>
      </w:rPr>
    </w:lvl>
    <w:lvl w:ilvl="7" w:tplc="CF360904" w:tentative="1">
      <w:start w:val="1"/>
      <w:numFmt w:val="bullet"/>
      <w:lvlText w:val=""/>
      <w:lvlJc w:val="left"/>
      <w:pPr>
        <w:tabs>
          <w:tab w:val="num" w:pos="5760"/>
        </w:tabs>
        <w:ind w:left="5760" w:hanging="360"/>
      </w:pPr>
      <w:rPr>
        <w:rFonts w:ascii="Wingdings" w:hAnsi="Wingdings" w:hint="default"/>
      </w:rPr>
    </w:lvl>
    <w:lvl w:ilvl="8" w:tplc="2B2474E6" w:tentative="1">
      <w:start w:val="1"/>
      <w:numFmt w:val="bullet"/>
      <w:lvlText w:val=""/>
      <w:lvlJc w:val="left"/>
      <w:pPr>
        <w:tabs>
          <w:tab w:val="num" w:pos="6480"/>
        </w:tabs>
        <w:ind w:left="6480" w:hanging="360"/>
      </w:pPr>
      <w:rPr>
        <w:rFonts w:ascii="Wingdings" w:hAnsi="Wingdings" w:hint="default"/>
      </w:rPr>
    </w:lvl>
  </w:abstractNum>
  <w:abstractNum w:abstractNumId="1">
    <w:nsid w:val="49D37805"/>
    <w:multiLevelType w:val="hybridMultilevel"/>
    <w:tmpl w:val="370AF43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nsid w:val="61954FED"/>
    <w:multiLevelType w:val="hybridMultilevel"/>
    <w:tmpl w:val="28C4702C"/>
    <w:lvl w:ilvl="0" w:tplc="59A6AD5C">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F1CC9"/>
    <w:rsid w:val="000120A4"/>
    <w:rsid w:val="00013D5A"/>
    <w:rsid w:val="000304C6"/>
    <w:rsid w:val="00052247"/>
    <w:rsid w:val="00094C9E"/>
    <w:rsid w:val="000D0235"/>
    <w:rsid w:val="000F390C"/>
    <w:rsid w:val="00143561"/>
    <w:rsid w:val="0016020F"/>
    <w:rsid w:val="001B09C1"/>
    <w:rsid w:val="001D2BB2"/>
    <w:rsid w:val="001D35F5"/>
    <w:rsid w:val="00253BAA"/>
    <w:rsid w:val="002724E8"/>
    <w:rsid w:val="002B283B"/>
    <w:rsid w:val="00392C9F"/>
    <w:rsid w:val="003A3EEF"/>
    <w:rsid w:val="003B4140"/>
    <w:rsid w:val="003C10BA"/>
    <w:rsid w:val="003F1CC9"/>
    <w:rsid w:val="004003AC"/>
    <w:rsid w:val="004272C8"/>
    <w:rsid w:val="00491498"/>
    <w:rsid w:val="004A3ECB"/>
    <w:rsid w:val="004A72D0"/>
    <w:rsid w:val="004B68A2"/>
    <w:rsid w:val="004E7C08"/>
    <w:rsid w:val="004E7C8C"/>
    <w:rsid w:val="005915D2"/>
    <w:rsid w:val="005923E4"/>
    <w:rsid w:val="005A28F8"/>
    <w:rsid w:val="005C49D6"/>
    <w:rsid w:val="005D1043"/>
    <w:rsid w:val="00697BD4"/>
    <w:rsid w:val="006E4801"/>
    <w:rsid w:val="006E5F6E"/>
    <w:rsid w:val="0076073F"/>
    <w:rsid w:val="00766CFB"/>
    <w:rsid w:val="00793909"/>
    <w:rsid w:val="007C7593"/>
    <w:rsid w:val="008972F5"/>
    <w:rsid w:val="008F14FA"/>
    <w:rsid w:val="00900A36"/>
    <w:rsid w:val="0090607B"/>
    <w:rsid w:val="0096271A"/>
    <w:rsid w:val="00981C0B"/>
    <w:rsid w:val="00993554"/>
    <w:rsid w:val="009E49D6"/>
    <w:rsid w:val="00A4216C"/>
    <w:rsid w:val="00AA5CCE"/>
    <w:rsid w:val="00B3336E"/>
    <w:rsid w:val="00B64B62"/>
    <w:rsid w:val="00BD673F"/>
    <w:rsid w:val="00C01632"/>
    <w:rsid w:val="00C07C02"/>
    <w:rsid w:val="00C439D6"/>
    <w:rsid w:val="00CC13A0"/>
    <w:rsid w:val="00CF5E55"/>
    <w:rsid w:val="00DD7735"/>
    <w:rsid w:val="00DE24C0"/>
    <w:rsid w:val="00DF1053"/>
    <w:rsid w:val="00DF6BE4"/>
    <w:rsid w:val="00E04235"/>
    <w:rsid w:val="00E13B19"/>
    <w:rsid w:val="00E23771"/>
    <w:rsid w:val="00E47876"/>
    <w:rsid w:val="00E52131"/>
    <w:rsid w:val="00E8447E"/>
    <w:rsid w:val="00EF1228"/>
    <w:rsid w:val="00F16F85"/>
    <w:rsid w:val="00F42DBB"/>
    <w:rsid w:val="00F44895"/>
    <w:rsid w:val="00FF1F1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C9"/>
    <w:rPr>
      <w:lang w:val="en-US"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4E7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E7C8C"/>
    <w:rPr>
      <w:rFonts w:ascii="Tahoma" w:hAnsi="Tahoma" w:cs="Tahoma"/>
      <w:sz w:val="16"/>
      <w:szCs w:val="16"/>
    </w:rPr>
  </w:style>
  <w:style w:type="character" w:customStyle="1" w:styleId="TextedebullesCar">
    <w:name w:val="Texte de bulles Car"/>
    <w:basedOn w:val="Policepardfaut"/>
    <w:link w:val="Textedebulles"/>
    <w:uiPriority w:val="99"/>
    <w:semiHidden/>
    <w:rsid w:val="004E7C8C"/>
    <w:rPr>
      <w:rFonts w:ascii="Tahoma" w:hAnsi="Tahoma" w:cs="Tahoma"/>
      <w:sz w:val="16"/>
      <w:szCs w:val="16"/>
      <w:lang w:val="en-US" w:eastAsia="en-CA"/>
    </w:rPr>
  </w:style>
  <w:style w:type="paragraph" w:styleId="NormalWeb">
    <w:name w:val="Normal (Web)"/>
    <w:basedOn w:val="Normal"/>
    <w:uiPriority w:val="99"/>
    <w:unhideWhenUsed/>
    <w:rsid w:val="0096271A"/>
    <w:pPr>
      <w:spacing w:before="100" w:beforeAutospacing="1" w:after="100" w:afterAutospacing="1"/>
    </w:pPr>
    <w:rPr>
      <w:sz w:val="24"/>
      <w:szCs w:val="24"/>
      <w:lang w:val="fr-CA" w:eastAsia="fr-CA"/>
    </w:rPr>
  </w:style>
  <w:style w:type="paragraph" w:styleId="En-tte">
    <w:name w:val="header"/>
    <w:basedOn w:val="Normal"/>
    <w:link w:val="En-tteCar"/>
    <w:uiPriority w:val="99"/>
    <w:semiHidden/>
    <w:unhideWhenUsed/>
    <w:rsid w:val="00F44895"/>
    <w:pPr>
      <w:tabs>
        <w:tab w:val="center" w:pos="4680"/>
        <w:tab w:val="right" w:pos="9360"/>
      </w:tabs>
    </w:pPr>
  </w:style>
  <w:style w:type="character" w:customStyle="1" w:styleId="En-tteCar">
    <w:name w:val="En-tête Car"/>
    <w:basedOn w:val="Policepardfaut"/>
    <w:link w:val="En-tte"/>
    <w:uiPriority w:val="99"/>
    <w:semiHidden/>
    <w:rsid w:val="00F44895"/>
    <w:rPr>
      <w:lang w:val="en-US" w:eastAsia="en-CA"/>
    </w:rPr>
  </w:style>
  <w:style w:type="paragraph" w:styleId="Pieddepage">
    <w:name w:val="footer"/>
    <w:basedOn w:val="Normal"/>
    <w:link w:val="PieddepageCar"/>
    <w:uiPriority w:val="99"/>
    <w:unhideWhenUsed/>
    <w:rsid w:val="00F44895"/>
    <w:pPr>
      <w:tabs>
        <w:tab w:val="center" w:pos="4680"/>
        <w:tab w:val="right" w:pos="9360"/>
      </w:tabs>
    </w:pPr>
  </w:style>
  <w:style w:type="character" w:customStyle="1" w:styleId="PieddepageCar">
    <w:name w:val="Pied de page Car"/>
    <w:basedOn w:val="Policepardfaut"/>
    <w:link w:val="Pieddepage"/>
    <w:uiPriority w:val="99"/>
    <w:rsid w:val="00F44895"/>
    <w:rPr>
      <w:lang w:val="en-US" w:eastAsia="en-CA"/>
    </w:rPr>
  </w:style>
  <w:style w:type="paragraph" w:styleId="Paragraphedeliste">
    <w:name w:val="List Paragraph"/>
    <w:basedOn w:val="Normal"/>
    <w:uiPriority w:val="34"/>
    <w:qFormat/>
    <w:rsid w:val="004A72D0"/>
    <w:pPr>
      <w:ind w:left="720"/>
      <w:contextualSpacing/>
    </w:pPr>
  </w:style>
</w:styles>
</file>

<file path=word/webSettings.xml><?xml version="1.0" encoding="utf-8"?>
<w:webSettings xmlns:r="http://schemas.openxmlformats.org/officeDocument/2006/relationships" xmlns:w="http://schemas.openxmlformats.org/wordprocessingml/2006/main">
  <w:divs>
    <w:div w:id="917523567">
      <w:bodyDiv w:val="1"/>
      <w:marLeft w:val="0"/>
      <w:marRight w:val="0"/>
      <w:marTop w:val="0"/>
      <w:marBottom w:val="0"/>
      <w:divBdr>
        <w:top w:val="none" w:sz="0" w:space="0" w:color="auto"/>
        <w:left w:val="none" w:sz="0" w:space="0" w:color="auto"/>
        <w:bottom w:val="none" w:sz="0" w:space="0" w:color="auto"/>
        <w:right w:val="none" w:sz="0" w:space="0" w:color="auto"/>
      </w:divBdr>
      <w:divsChild>
        <w:div w:id="215820772">
          <w:marLeft w:val="547"/>
          <w:marRight w:val="0"/>
          <w:marTop w:val="0"/>
          <w:marBottom w:val="120"/>
          <w:divBdr>
            <w:top w:val="none" w:sz="0" w:space="0" w:color="auto"/>
            <w:left w:val="none" w:sz="0" w:space="0" w:color="auto"/>
            <w:bottom w:val="none" w:sz="0" w:space="0" w:color="auto"/>
            <w:right w:val="none" w:sz="0" w:space="0" w:color="auto"/>
          </w:divBdr>
        </w:div>
        <w:div w:id="482088777">
          <w:marLeft w:val="547"/>
          <w:marRight w:val="0"/>
          <w:marTop w:val="0"/>
          <w:marBottom w:val="120"/>
          <w:divBdr>
            <w:top w:val="none" w:sz="0" w:space="0" w:color="auto"/>
            <w:left w:val="none" w:sz="0" w:space="0" w:color="auto"/>
            <w:bottom w:val="none" w:sz="0" w:space="0" w:color="auto"/>
            <w:right w:val="none" w:sz="0" w:space="0" w:color="auto"/>
          </w:divBdr>
        </w:div>
        <w:div w:id="1608197289">
          <w:marLeft w:val="547"/>
          <w:marRight w:val="0"/>
          <w:marTop w:val="0"/>
          <w:marBottom w:val="120"/>
          <w:divBdr>
            <w:top w:val="none" w:sz="0" w:space="0" w:color="auto"/>
            <w:left w:val="none" w:sz="0" w:space="0" w:color="auto"/>
            <w:bottom w:val="none" w:sz="0" w:space="0" w:color="auto"/>
            <w:right w:val="none" w:sz="0" w:space="0" w:color="auto"/>
          </w:divBdr>
        </w:div>
        <w:div w:id="16584933">
          <w:marLeft w:val="547"/>
          <w:marRight w:val="0"/>
          <w:marTop w:val="0"/>
          <w:marBottom w:val="120"/>
          <w:divBdr>
            <w:top w:val="none" w:sz="0" w:space="0" w:color="auto"/>
            <w:left w:val="none" w:sz="0" w:space="0" w:color="auto"/>
            <w:bottom w:val="none" w:sz="0" w:space="0" w:color="auto"/>
            <w:right w:val="none" w:sz="0" w:space="0" w:color="auto"/>
          </w:divBdr>
        </w:div>
        <w:div w:id="606697135">
          <w:marLeft w:val="547"/>
          <w:marRight w:val="0"/>
          <w:marTop w:val="0"/>
          <w:marBottom w:val="120"/>
          <w:divBdr>
            <w:top w:val="none" w:sz="0" w:space="0" w:color="auto"/>
            <w:left w:val="none" w:sz="0" w:space="0" w:color="auto"/>
            <w:bottom w:val="none" w:sz="0" w:space="0" w:color="auto"/>
            <w:right w:val="none" w:sz="0" w:space="0" w:color="auto"/>
          </w:divBdr>
        </w:div>
      </w:divsChild>
    </w:div>
    <w:div w:id="17510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3488</Words>
  <Characters>19224</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StatCan</Company>
  <LinksUpToDate>false</LinksUpToDate>
  <CharactersWithSpaces>22667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Laniel</dc:creator>
  <cp:lastModifiedBy>Laniel</cp:lastModifiedBy>
  <cp:revision>28</cp:revision>
  <dcterms:created xsi:type="dcterms:W3CDTF">2012-08-10T14:55:00Z</dcterms:created>
  <dcterms:modified xsi:type="dcterms:W3CDTF">2012-08-10T19:10:00Z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-1822701223</vt:i4>
  </property>
  <property fmtid="{D5CDD505-2E9C-101B-9397-08002B2CF9AE}" pid="3" name="_NewReviewCycle">
    <vt:lpwstr/>
  </property>
  <property fmtid="{D5CDD505-2E9C-101B-9397-08002B2CF9AE}" pid="4" name="_EmailSubject">
    <vt:lpwstr>Canada's NHS Paper for IWHSNR</vt:lpwstr>
  </property>
  <property fmtid="{D5CDD505-2E9C-101B-9397-08002B2CF9AE}" pid="5" name="_AuthorEmail">
    <vt:lpwstr>Normand.Laniel@a.statcan.gc.ca</vt:lpwstr>
  </property>
  <property fmtid="{D5CDD505-2E9C-101B-9397-08002B2CF9AE}" pid="6" name="_AuthorEmailDisplayName">
    <vt:lpwstr>Laniel, Normand - SSMD/DMES</vt:lpwstr>
  </property>
  <property fmtid="{D5CDD505-2E9C-101B-9397-08002B2CF9AE}" pid="7" name="_PreviousAdHocReviewCycleID">
    <vt:i4>-1822701223</vt:i4>
  </property>
</Properties>
</file>