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11" w:rsidRPr="00AC40D7" w:rsidRDefault="005A4211" w:rsidP="00016480">
      <w:pPr>
        <w:jc w:val="center"/>
        <w:rPr>
          <w:b/>
          <w:color w:val="000000"/>
          <w:sz w:val="32"/>
          <w:szCs w:val="32"/>
        </w:rPr>
      </w:pPr>
      <w:r w:rsidRPr="00AC40D7">
        <w:rPr>
          <w:b/>
          <w:color w:val="000000"/>
          <w:sz w:val="32"/>
          <w:szCs w:val="32"/>
        </w:rPr>
        <w:t>Using Contact History to Adjust for Nonresponse in the Current Population Survey</w:t>
      </w:r>
      <w:r w:rsidRPr="00AC40D7" w:rsidDel="005A4211">
        <w:rPr>
          <w:b/>
          <w:color w:val="000000"/>
          <w:sz w:val="32"/>
          <w:szCs w:val="32"/>
        </w:rPr>
        <w:t xml:space="preserve"> </w:t>
      </w:r>
    </w:p>
    <w:p w:rsidR="00EE52ED" w:rsidRDefault="00EE52ED" w:rsidP="00016480">
      <w:pPr>
        <w:jc w:val="center"/>
      </w:pPr>
      <w:r w:rsidRPr="00016480">
        <w:t>John Dixon</w:t>
      </w:r>
    </w:p>
    <w:p w:rsidR="00016480" w:rsidRPr="00016480" w:rsidRDefault="00016480" w:rsidP="00016480">
      <w:pPr>
        <w:jc w:val="center"/>
      </w:pPr>
      <w:r>
        <w:t>Bureau of Labor Statistics</w:t>
      </w:r>
    </w:p>
    <w:p w:rsidR="00274F85" w:rsidRDefault="00274F85"/>
    <w:p w:rsidR="00016480" w:rsidRDefault="00016480" w:rsidP="00D00772">
      <w:pPr>
        <w:rPr>
          <w:b/>
        </w:rPr>
      </w:pPr>
    </w:p>
    <w:p w:rsidR="00BD1DBC" w:rsidRPr="00BD1DBC" w:rsidRDefault="00BD1DBC" w:rsidP="00BD1DBC">
      <w:pPr>
        <w:rPr>
          <w:b/>
          <w:u w:val="single"/>
        </w:rPr>
      </w:pPr>
      <w:r w:rsidRPr="00BD1DBC">
        <w:rPr>
          <w:b/>
          <w:u w:val="single"/>
        </w:rPr>
        <w:t>Introduction</w:t>
      </w:r>
    </w:p>
    <w:p w:rsidR="00BD1DBC" w:rsidRPr="00BD1DBC" w:rsidRDefault="00BD1DBC" w:rsidP="00BD1DBC">
      <w:pPr>
        <w:rPr>
          <w:color w:val="000000"/>
        </w:rPr>
      </w:pPr>
      <w:r w:rsidRPr="00BD1DBC">
        <w:rPr>
          <w:color w:val="000000"/>
        </w:rPr>
        <w:t xml:space="preserve">The Current Population Survey (CPS) adjusts the sampling weights for nonresponse to match population controls based on cells which combine similar primary sampling units (PSU) based on size and </w:t>
      </w:r>
      <w:proofErr w:type="spellStart"/>
      <w:r w:rsidRPr="00BD1DBC">
        <w:rPr>
          <w:color w:val="000000"/>
        </w:rPr>
        <w:t>urbanicity</w:t>
      </w:r>
      <w:proofErr w:type="spellEnd"/>
      <w:r w:rsidRPr="00BD1DBC">
        <w:rPr>
          <w:color w:val="000000"/>
        </w:rPr>
        <w:t>.  This would increase weights for responding units in PSUs with higher nonresponse.  The adjustment method assumes that the nonresponse is random within the adjustment cells.  The present study uses information from the Contact History Instrument (CHI) to adjust the weights based on the patterns of responses interviewers experience in contacting and attempting to interview households.  This additional adjustment has the potential to reduce nonresponse bias.</w:t>
      </w:r>
    </w:p>
    <w:p w:rsidR="00BD1DBC" w:rsidRPr="00BD1DBC" w:rsidRDefault="00BD1DBC" w:rsidP="00BD1DBC">
      <w:pPr>
        <w:rPr>
          <w:sz w:val="20"/>
          <w:szCs w:val="20"/>
        </w:rPr>
      </w:pPr>
      <w:r w:rsidRPr="00BD1DBC">
        <w:rPr>
          <w:sz w:val="20"/>
          <w:szCs w:val="20"/>
        </w:rPr>
        <w:t xml:space="preserve">     </w:t>
      </w:r>
    </w:p>
    <w:p w:rsidR="00BD1DBC" w:rsidRPr="00BD1DBC" w:rsidRDefault="00BD1DBC" w:rsidP="00BD1DBC"/>
    <w:p w:rsidR="00BD1DBC" w:rsidRPr="00BD1DBC" w:rsidRDefault="00BD1DBC" w:rsidP="00BD1DBC">
      <w:pPr>
        <w:rPr>
          <w:b/>
          <w:u w:val="single"/>
        </w:rPr>
      </w:pPr>
      <w:r w:rsidRPr="00BD1DBC">
        <w:rPr>
          <w:b/>
          <w:u w:val="single"/>
        </w:rPr>
        <w:t>Data Sources</w:t>
      </w:r>
    </w:p>
    <w:p w:rsidR="008C0078" w:rsidRPr="008C0078" w:rsidRDefault="00BD1DBC" w:rsidP="008C0078">
      <w:pPr>
        <w:rPr>
          <w:color w:val="000000"/>
          <w:spacing w:val="-3"/>
          <w:w w:val="105"/>
        </w:rPr>
      </w:pPr>
      <w:r w:rsidRPr="00BD1DBC">
        <w:t xml:space="preserve">    Details about the CPS can be found in Technical Paper 6</w:t>
      </w:r>
      <w:r w:rsidR="00EA4B84">
        <w:t>6</w:t>
      </w:r>
      <w:r w:rsidRPr="00BD1DBC">
        <w:t>.   The CPS is the primary source of information on the labor force characteristics of the U.S. population</w:t>
      </w:r>
      <w:r w:rsidR="00B32F56">
        <w:t xml:space="preserve">.  </w:t>
      </w:r>
      <w:r w:rsidR="001624BB">
        <w:rPr>
          <w:color w:val="000000"/>
          <w:spacing w:val="-9"/>
          <w:w w:val="105"/>
        </w:rPr>
        <w:t xml:space="preserve">The CPS uses a multistage probability sample based on the results of the decennial census, with </w:t>
      </w:r>
      <w:r w:rsidR="001624BB">
        <w:rPr>
          <w:color w:val="000000"/>
          <w:spacing w:val="-4"/>
          <w:w w:val="105"/>
        </w:rPr>
        <w:t>coverage in all 50 states and the District of Columbia. The sample is continually updated to account for new residential construction.</w:t>
      </w:r>
      <w:r w:rsidR="00021BC8">
        <w:rPr>
          <w:color w:val="000000"/>
          <w:spacing w:val="-4"/>
          <w:w w:val="105"/>
        </w:rPr>
        <w:t xml:space="preserve"> </w:t>
      </w:r>
      <w:r w:rsidR="001624BB">
        <w:rPr>
          <w:color w:val="000000"/>
          <w:spacing w:val="-4"/>
          <w:w w:val="105"/>
        </w:rPr>
        <w:t xml:space="preserve"> </w:t>
      </w:r>
      <w:r w:rsidR="001624BB">
        <w:rPr>
          <w:color w:val="000000"/>
          <w:spacing w:val="-3"/>
          <w:w w:val="105"/>
        </w:rPr>
        <w:t xml:space="preserve">In the first stage of the sampling process, PSUs are selected for sample. </w:t>
      </w:r>
      <w:r w:rsidR="00EA4B84">
        <w:rPr>
          <w:color w:val="000000"/>
          <w:spacing w:val="-3"/>
          <w:w w:val="105"/>
        </w:rPr>
        <w:t>Base weights are created from this samp</w:t>
      </w:r>
      <w:r w:rsidR="008C0078">
        <w:rPr>
          <w:color w:val="000000"/>
          <w:spacing w:val="-3"/>
          <w:w w:val="105"/>
        </w:rPr>
        <w:t xml:space="preserve">ling.  Nonresponse factors are estimated based on the response rates.  Second stage weights are produced using population controls.   </w:t>
      </w:r>
    </w:p>
    <w:p w:rsidR="008C0078" w:rsidRDefault="008C0078" w:rsidP="008C0078">
      <w:pPr>
        <w:pStyle w:val="Default"/>
        <w:rPr>
          <w:sz w:val="22"/>
          <w:szCs w:val="22"/>
        </w:rPr>
      </w:pPr>
      <w:r>
        <w:t xml:space="preserve"> </w:t>
      </w:r>
      <w:r>
        <w:rPr>
          <w:sz w:val="22"/>
          <w:szCs w:val="22"/>
        </w:rPr>
        <w:t xml:space="preserve">The Contact History Instrument (CHI) was added to the CPS in 2009 </w:t>
      </w:r>
      <w:r w:rsidR="00116C1B">
        <w:rPr>
          <w:sz w:val="22"/>
          <w:szCs w:val="22"/>
        </w:rPr>
        <w:t xml:space="preserve">to </w:t>
      </w:r>
      <w:r>
        <w:rPr>
          <w:sz w:val="22"/>
          <w:szCs w:val="22"/>
        </w:rPr>
        <w:t xml:space="preserve">collect detailed contact history data (Bates, 2004). The interviewer records times and outcomes of attempted contacts, </w:t>
      </w:r>
      <w:proofErr w:type="gramStart"/>
      <w:r>
        <w:rPr>
          <w:sz w:val="22"/>
          <w:szCs w:val="22"/>
        </w:rPr>
        <w:t>problems</w:t>
      </w:r>
      <w:proofErr w:type="gramEnd"/>
      <w:r>
        <w:rPr>
          <w:sz w:val="22"/>
          <w:szCs w:val="22"/>
        </w:rPr>
        <w:t xml:space="preserve"> or concerns reported by reluctant households, and strategies used to gain contact or overcome reluctance. This provides a very rich source for studying the interview process, which is only lightly used in this study. </w:t>
      </w:r>
    </w:p>
    <w:p w:rsidR="008C0078" w:rsidRDefault="008C0078" w:rsidP="008C0078">
      <w:pPr>
        <w:rPr>
          <w:color w:val="000000"/>
          <w:spacing w:val="-3"/>
          <w:w w:val="105"/>
        </w:rPr>
      </w:pPr>
      <w:r>
        <w:rPr>
          <w:sz w:val="22"/>
          <w:szCs w:val="22"/>
        </w:rPr>
        <w:t>Dixon (20</w:t>
      </w:r>
      <w:r w:rsidR="00531D5F">
        <w:rPr>
          <w:sz w:val="22"/>
          <w:szCs w:val="22"/>
        </w:rPr>
        <w:t>10</w:t>
      </w:r>
      <w:r>
        <w:rPr>
          <w:sz w:val="22"/>
          <w:szCs w:val="22"/>
        </w:rPr>
        <w:t>) found that estimates of nonresponse bias for the Consumer Expenditure Survey and the National Health Interview Survey weren't impacted much by the addition of call history variables.</w:t>
      </w:r>
    </w:p>
    <w:p w:rsidR="00EA4B84" w:rsidRDefault="00EA4B84" w:rsidP="00021BC8">
      <w:pPr>
        <w:rPr>
          <w:color w:val="000000"/>
          <w:spacing w:val="-8"/>
          <w:w w:val="105"/>
        </w:rPr>
      </w:pPr>
    </w:p>
    <w:p w:rsidR="005379E8" w:rsidRDefault="005379E8" w:rsidP="00021BC8">
      <w:pPr>
        <w:rPr>
          <w:color w:val="000000"/>
          <w:spacing w:val="-8"/>
          <w:w w:val="105"/>
        </w:rPr>
      </w:pPr>
      <w:r>
        <w:rPr>
          <w:color w:val="000000"/>
          <w:spacing w:val="-8"/>
          <w:w w:val="105"/>
        </w:rPr>
        <w:t>CPS base weights</w:t>
      </w:r>
    </w:p>
    <w:p w:rsidR="00A97778" w:rsidRPr="005379E8" w:rsidRDefault="00A97778" w:rsidP="005379E8">
      <w:pPr>
        <w:rPr>
          <w:color w:val="000000"/>
          <w:spacing w:val="-8"/>
          <w:w w:val="105"/>
        </w:rPr>
      </w:pPr>
      <w:r w:rsidRPr="005379E8">
        <w:rPr>
          <w:color w:val="000000"/>
          <w:spacing w:val="-8"/>
          <w:w w:val="105"/>
        </w:rPr>
        <w:t>3,141 counties and independent cities, is divided into 2,007 PSUs</w:t>
      </w:r>
    </w:p>
    <w:p w:rsidR="00A97778" w:rsidRPr="005379E8" w:rsidRDefault="00A97778" w:rsidP="005379E8">
      <w:pPr>
        <w:rPr>
          <w:color w:val="000000"/>
          <w:spacing w:val="-8"/>
          <w:w w:val="105"/>
        </w:rPr>
      </w:pPr>
      <w:r w:rsidRPr="005379E8">
        <w:rPr>
          <w:color w:val="000000"/>
          <w:spacing w:val="-8"/>
          <w:w w:val="105"/>
        </w:rPr>
        <w:t>The 2,007 PSUs are grouped into strata within each state. Then, one PSU is selected from each stratum with the probability of selection proportional to the population of the PSU to produce 754 PSUs</w:t>
      </w:r>
      <w:r w:rsidR="00116C1B">
        <w:rPr>
          <w:color w:val="000000"/>
          <w:spacing w:val="-8"/>
          <w:w w:val="105"/>
        </w:rPr>
        <w:t xml:space="preserve">, </w:t>
      </w:r>
      <w:proofErr w:type="gramStart"/>
      <w:r w:rsidR="00116C1B">
        <w:rPr>
          <w:color w:val="000000"/>
          <w:spacing w:val="-8"/>
          <w:w w:val="105"/>
        </w:rPr>
        <w:t>then</w:t>
      </w:r>
      <w:proofErr w:type="gramEnd"/>
      <w:r w:rsidR="00116C1B">
        <w:rPr>
          <w:color w:val="000000"/>
          <w:spacing w:val="-8"/>
          <w:w w:val="105"/>
        </w:rPr>
        <w:t xml:space="preserve"> </w:t>
      </w:r>
      <w:r w:rsidRPr="005379E8">
        <w:rPr>
          <w:color w:val="000000"/>
          <w:spacing w:val="-8"/>
          <w:w w:val="105"/>
        </w:rPr>
        <w:t>72,000 households</w:t>
      </w:r>
      <w:r w:rsidR="00116C1B">
        <w:rPr>
          <w:color w:val="000000"/>
          <w:spacing w:val="-8"/>
          <w:w w:val="105"/>
        </w:rPr>
        <w:t xml:space="preserve"> are selected </w:t>
      </w:r>
      <w:r w:rsidRPr="005379E8">
        <w:rPr>
          <w:color w:val="000000"/>
          <w:spacing w:val="-8"/>
          <w:w w:val="105"/>
        </w:rPr>
        <w:t>from</w:t>
      </w:r>
      <w:r w:rsidR="00116C1B">
        <w:rPr>
          <w:color w:val="000000"/>
          <w:spacing w:val="-8"/>
          <w:w w:val="105"/>
        </w:rPr>
        <w:t xml:space="preserve"> the</w:t>
      </w:r>
      <w:r w:rsidRPr="005379E8">
        <w:rPr>
          <w:color w:val="000000"/>
          <w:spacing w:val="-8"/>
          <w:w w:val="105"/>
        </w:rPr>
        <w:t xml:space="preserve"> 754 sample areas, or PSUs</w:t>
      </w:r>
      <w:r w:rsidR="00116C1B">
        <w:rPr>
          <w:color w:val="000000"/>
          <w:spacing w:val="-8"/>
          <w:w w:val="105"/>
        </w:rPr>
        <w:t xml:space="preserve">.  </w:t>
      </w:r>
      <w:r w:rsidRPr="005379E8">
        <w:rPr>
          <w:color w:val="000000"/>
          <w:spacing w:val="-8"/>
          <w:w w:val="105"/>
        </w:rPr>
        <w:t xml:space="preserve">The single PSU randomly selected from each of these strata is non-self-representing because it represents not only itself but the entire stratum. The probability of selecting a particular PSU in a non-self-representing stratum is proportional to its population. </w:t>
      </w:r>
    </w:p>
    <w:p w:rsidR="005379E8" w:rsidRDefault="005379E8" w:rsidP="005379E8">
      <w:pPr>
        <w:rPr>
          <w:color w:val="000000"/>
          <w:spacing w:val="-8"/>
          <w:w w:val="105"/>
        </w:rPr>
      </w:pPr>
      <w:r w:rsidRPr="005379E8">
        <w:rPr>
          <w:color w:val="000000"/>
          <w:spacing w:val="-8"/>
          <w:w w:val="105"/>
        </w:rPr>
        <w:t xml:space="preserve">Metropolitan areas within a State are used as a basis for forming many PSUs. Outside of metropolitan areas, two or more counties normally are combined to form a PSU except when the geographic area of an individual county is too large. Combining counties to form PSUs provides greater heterogeneity; a typical PSU includes urban and rural residents of </w:t>
      </w:r>
      <w:r w:rsidRPr="005379E8">
        <w:rPr>
          <w:color w:val="000000"/>
          <w:spacing w:val="-8"/>
          <w:w w:val="105"/>
        </w:rPr>
        <w:lastRenderedPageBreak/>
        <w:t xml:space="preserve">both high and low economic levels and encompasses, to the extent feasible, diverse occupations and industries </w:t>
      </w:r>
    </w:p>
    <w:p w:rsidR="004F718E" w:rsidRDefault="004F718E" w:rsidP="004F718E">
      <w:pPr>
        <w:rPr>
          <w:b/>
          <w:u w:val="single"/>
        </w:rPr>
      </w:pPr>
    </w:p>
    <w:p w:rsidR="004F718E" w:rsidRPr="00BD1DBC" w:rsidRDefault="004F718E" w:rsidP="004F718E">
      <w:pPr>
        <w:rPr>
          <w:b/>
          <w:u w:val="single"/>
        </w:rPr>
      </w:pPr>
      <w:r w:rsidRPr="00BD1DBC">
        <w:rPr>
          <w:b/>
          <w:u w:val="single"/>
        </w:rPr>
        <w:t>Methods</w:t>
      </w:r>
    </w:p>
    <w:p w:rsidR="00DA5151" w:rsidRPr="00116C1B" w:rsidRDefault="00DA5151" w:rsidP="00DA5151">
      <w:pPr>
        <w:rPr>
          <w:b/>
          <w:i/>
          <w:color w:val="000000"/>
          <w:spacing w:val="-8"/>
          <w:w w:val="105"/>
        </w:rPr>
      </w:pPr>
      <w:proofErr w:type="gramStart"/>
      <w:r w:rsidRPr="00116C1B">
        <w:rPr>
          <w:b/>
          <w:i/>
          <w:color w:val="000000"/>
          <w:spacing w:val="-8"/>
          <w:w w:val="105"/>
        </w:rPr>
        <w:t>Non-interview adjustment</w:t>
      </w:r>
      <w:r w:rsidR="00116C1B">
        <w:rPr>
          <w:b/>
          <w:i/>
          <w:color w:val="000000"/>
          <w:spacing w:val="-8"/>
          <w:w w:val="105"/>
        </w:rPr>
        <w:t>.</w:t>
      </w:r>
      <w:proofErr w:type="gramEnd"/>
    </w:p>
    <w:p w:rsidR="00DA5151" w:rsidRPr="00DA5151" w:rsidRDefault="00116C1B" w:rsidP="00DA5151">
      <w:pPr>
        <w:rPr>
          <w:color w:val="000000"/>
          <w:spacing w:val="-8"/>
          <w:w w:val="105"/>
        </w:rPr>
      </w:pPr>
      <w:r>
        <w:rPr>
          <w:color w:val="000000"/>
          <w:spacing w:val="-8"/>
          <w:w w:val="105"/>
        </w:rPr>
        <w:t xml:space="preserve">The current </w:t>
      </w:r>
      <w:proofErr w:type="spellStart"/>
      <w:r>
        <w:rPr>
          <w:color w:val="000000"/>
          <w:spacing w:val="-8"/>
          <w:w w:val="105"/>
        </w:rPr>
        <w:t>n</w:t>
      </w:r>
      <w:r w:rsidR="00A97778" w:rsidRPr="00DA5151">
        <w:rPr>
          <w:color w:val="000000"/>
          <w:spacing w:val="-8"/>
          <w:w w:val="105"/>
        </w:rPr>
        <w:t>oninterview</w:t>
      </w:r>
      <w:proofErr w:type="spellEnd"/>
      <w:r w:rsidR="00A97778" w:rsidRPr="00DA5151">
        <w:rPr>
          <w:color w:val="000000"/>
          <w:spacing w:val="-8"/>
          <w:w w:val="105"/>
        </w:rPr>
        <w:t xml:space="preserve"> adjustment is made separately for clusters of similar sample areas that are usually, but not necessarily, contained within a state.</w:t>
      </w:r>
      <w:r>
        <w:rPr>
          <w:color w:val="000000"/>
          <w:spacing w:val="-8"/>
          <w:w w:val="105"/>
        </w:rPr>
        <w:t xml:space="preserve">  </w:t>
      </w:r>
      <w:r w:rsidR="00A97778" w:rsidRPr="00DA5151">
        <w:rPr>
          <w:color w:val="000000"/>
          <w:spacing w:val="-8"/>
          <w:w w:val="105"/>
        </w:rPr>
        <w:t xml:space="preserve">Similarity of sample areas is based on metropolitan statistical area (MSA) status and size. </w:t>
      </w:r>
      <w:r>
        <w:rPr>
          <w:color w:val="000000"/>
          <w:spacing w:val="-8"/>
          <w:w w:val="105"/>
        </w:rPr>
        <w:t xml:space="preserve"> </w:t>
      </w:r>
      <w:r w:rsidR="00A97778" w:rsidRPr="00DA5151">
        <w:rPr>
          <w:color w:val="000000"/>
          <w:spacing w:val="-8"/>
          <w:w w:val="105"/>
        </w:rPr>
        <w:t xml:space="preserve">Within each cluster, there is a further breakdown by residence type. </w:t>
      </w:r>
      <w:r w:rsidR="003C6DF2">
        <w:rPr>
          <w:color w:val="000000"/>
          <w:spacing w:val="-8"/>
          <w:w w:val="105"/>
        </w:rPr>
        <w:t xml:space="preserve"> </w:t>
      </w:r>
      <w:r w:rsidR="00A97778" w:rsidRPr="00DA5151">
        <w:rPr>
          <w:color w:val="000000"/>
          <w:spacing w:val="-8"/>
          <w:w w:val="105"/>
        </w:rPr>
        <w:t xml:space="preserve">Each MSA cluster is split by “central city” and “balance of the MSA.” </w:t>
      </w:r>
      <w:r w:rsidR="003C6DF2">
        <w:rPr>
          <w:color w:val="000000"/>
          <w:spacing w:val="-8"/>
          <w:w w:val="105"/>
        </w:rPr>
        <w:t xml:space="preserve"> </w:t>
      </w:r>
      <w:r w:rsidR="00A97778" w:rsidRPr="00DA5151">
        <w:rPr>
          <w:color w:val="000000"/>
          <w:spacing w:val="-8"/>
          <w:w w:val="105"/>
        </w:rPr>
        <w:t>Each non-MSA cluster is split by “urban” and “rural” residence categories</w:t>
      </w:r>
      <w:r w:rsidR="003C6DF2">
        <w:rPr>
          <w:color w:val="000000"/>
          <w:spacing w:val="-8"/>
          <w:w w:val="105"/>
        </w:rPr>
        <w:t>.</w:t>
      </w:r>
      <w:r w:rsidR="00A97778" w:rsidRPr="00DA5151">
        <w:rPr>
          <w:color w:val="000000"/>
          <w:spacing w:val="-8"/>
          <w:w w:val="105"/>
        </w:rPr>
        <w:t xml:space="preserve"> </w:t>
      </w:r>
      <w:r w:rsidR="003C6DF2">
        <w:rPr>
          <w:color w:val="000000"/>
          <w:spacing w:val="-8"/>
          <w:w w:val="105"/>
        </w:rPr>
        <w:t xml:space="preserve"> </w:t>
      </w:r>
      <w:r w:rsidR="00DA5151" w:rsidRPr="00DA5151">
        <w:rPr>
          <w:color w:val="000000"/>
          <w:spacing w:val="-8"/>
          <w:w w:val="105"/>
        </w:rPr>
        <w:t>The weights would be further adjusted to population totals (giving different person weights by adjusting for demographic characteristics; sex, race, age), previous values (composite weights), or for longitudinal use.</w:t>
      </w:r>
    </w:p>
    <w:p w:rsidR="00DA5151" w:rsidRPr="00DA5151" w:rsidRDefault="00DA5151" w:rsidP="00DA5151">
      <w:pPr>
        <w:rPr>
          <w:color w:val="000000"/>
          <w:spacing w:val="-8"/>
          <w:w w:val="105"/>
        </w:rPr>
      </w:pPr>
      <w:r w:rsidRPr="00DA5151">
        <w:rPr>
          <w:color w:val="000000"/>
          <w:spacing w:val="-8"/>
          <w:w w:val="105"/>
        </w:rPr>
        <w:t>This study only examines the estimates for the base-weight and non-interview adjustments.</w:t>
      </w:r>
    </w:p>
    <w:p w:rsidR="00DA5151" w:rsidRDefault="00DA5151" w:rsidP="00DA5151">
      <w:pPr>
        <w:rPr>
          <w:color w:val="000000"/>
          <w:spacing w:val="-8"/>
          <w:w w:val="105"/>
        </w:rPr>
      </w:pPr>
      <w:r w:rsidRPr="00DA5151">
        <w:rPr>
          <w:color w:val="000000"/>
          <w:spacing w:val="-8"/>
          <w:w w:val="105"/>
        </w:rPr>
        <w:t xml:space="preserve">The current non-interview adjustments assume the missing data </w:t>
      </w:r>
      <w:proofErr w:type="gramStart"/>
      <w:r w:rsidRPr="00DA5151">
        <w:rPr>
          <w:color w:val="000000"/>
          <w:spacing w:val="-8"/>
          <w:w w:val="105"/>
        </w:rPr>
        <w:t>aren’t  related</w:t>
      </w:r>
      <w:proofErr w:type="gramEnd"/>
      <w:r w:rsidRPr="00DA5151">
        <w:rPr>
          <w:color w:val="000000"/>
          <w:spacing w:val="-8"/>
          <w:w w:val="105"/>
        </w:rPr>
        <w:t xml:space="preserve"> to estimates after conditioning on the non-interview clusters.  This study adds process information about the non-interviews to try to adjust for nonresponse differences within the clusters. </w:t>
      </w:r>
    </w:p>
    <w:p w:rsidR="00DA5151" w:rsidRPr="00DA5151" w:rsidRDefault="00DA5151" w:rsidP="00DA5151">
      <w:pPr>
        <w:rPr>
          <w:color w:val="000000"/>
          <w:spacing w:val="-8"/>
          <w:w w:val="105"/>
        </w:rPr>
      </w:pPr>
    </w:p>
    <w:p w:rsidR="00DA5151" w:rsidRPr="00116C1B" w:rsidRDefault="00DA5151" w:rsidP="00021BC8">
      <w:pPr>
        <w:rPr>
          <w:b/>
          <w:i/>
          <w:color w:val="000000"/>
          <w:spacing w:val="-8"/>
          <w:w w:val="105"/>
        </w:rPr>
      </w:pPr>
      <w:proofErr w:type="gramStart"/>
      <w:r w:rsidRPr="00116C1B">
        <w:rPr>
          <w:b/>
          <w:i/>
          <w:color w:val="000000"/>
          <w:spacing w:val="-8"/>
          <w:w w:val="105"/>
        </w:rPr>
        <w:t xml:space="preserve">Non-response surrogates; CHI </w:t>
      </w:r>
      <w:proofErr w:type="spellStart"/>
      <w:r w:rsidRPr="00116C1B">
        <w:rPr>
          <w:b/>
          <w:i/>
          <w:color w:val="000000"/>
          <w:spacing w:val="-8"/>
          <w:w w:val="105"/>
        </w:rPr>
        <w:t>vs</w:t>
      </w:r>
      <w:proofErr w:type="spellEnd"/>
      <w:r w:rsidRPr="00116C1B">
        <w:rPr>
          <w:b/>
          <w:i/>
          <w:color w:val="000000"/>
          <w:spacing w:val="-8"/>
          <w:w w:val="105"/>
        </w:rPr>
        <w:t xml:space="preserve"> clusters.</w:t>
      </w:r>
      <w:proofErr w:type="gramEnd"/>
    </w:p>
    <w:p w:rsidR="00A97778" w:rsidRPr="00DA5151" w:rsidRDefault="00A97778" w:rsidP="00DA5151">
      <w:pPr>
        <w:rPr>
          <w:color w:val="000000"/>
          <w:spacing w:val="-8"/>
          <w:w w:val="105"/>
        </w:rPr>
      </w:pPr>
      <w:r w:rsidRPr="00DA5151">
        <w:rPr>
          <w:color w:val="000000"/>
          <w:spacing w:val="-8"/>
          <w:w w:val="105"/>
        </w:rPr>
        <w:t>Contact History Instrument (CHI) responses are used to categorize responders to the CPS as similar to nonresponders based on their contact history and reasons for not responding.</w:t>
      </w:r>
    </w:p>
    <w:p w:rsidR="00A97778" w:rsidRPr="00DA5151" w:rsidRDefault="00A97778" w:rsidP="00DA5151">
      <w:pPr>
        <w:rPr>
          <w:color w:val="000000"/>
          <w:spacing w:val="-8"/>
          <w:w w:val="105"/>
        </w:rPr>
      </w:pPr>
      <w:r w:rsidRPr="00DA5151">
        <w:rPr>
          <w:color w:val="000000"/>
          <w:spacing w:val="-8"/>
          <w:w w:val="105"/>
        </w:rPr>
        <w:t>Propensity scores are predicted values from a logistic model based on the CHI.</w:t>
      </w:r>
    </w:p>
    <w:p w:rsidR="00A97778" w:rsidRPr="00DA5151" w:rsidRDefault="00A97778" w:rsidP="00DA5151">
      <w:pPr>
        <w:rPr>
          <w:color w:val="000000"/>
          <w:spacing w:val="-8"/>
          <w:w w:val="105"/>
        </w:rPr>
      </w:pPr>
      <w:r w:rsidRPr="00DA5151">
        <w:rPr>
          <w:color w:val="000000"/>
          <w:spacing w:val="-8"/>
          <w:w w:val="105"/>
        </w:rPr>
        <w:t>These are used to adjust the weights on the CPS in a general linear model.  Refusal is significant</w:t>
      </w:r>
      <w:r w:rsidR="003C6DF2">
        <w:rPr>
          <w:color w:val="000000"/>
          <w:spacing w:val="-8"/>
          <w:w w:val="105"/>
        </w:rPr>
        <w:t xml:space="preserve"> in this model</w:t>
      </w:r>
      <w:r w:rsidRPr="00DA5151">
        <w:rPr>
          <w:color w:val="000000"/>
          <w:spacing w:val="-8"/>
          <w:w w:val="105"/>
        </w:rPr>
        <w:t>, but noncontact has no impact on adjusting the weights.</w:t>
      </w:r>
    </w:p>
    <w:p w:rsidR="00DA5151" w:rsidRPr="00DA5151" w:rsidRDefault="00DA5151" w:rsidP="00DA5151">
      <w:pPr>
        <w:rPr>
          <w:color w:val="000000"/>
          <w:spacing w:val="-8"/>
          <w:w w:val="105"/>
        </w:rPr>
      </w:pPr>
      <w:r w:rsidRPr="00DA5151">
        <w:rPr>
          <w:color w:val="000000"/>
          <w:spacing w:val="-8"/>
          <w:w w:val="105"/>
        </w:rPr>
        <w:t xml:space="preserve">Since we don’t know how </w:t>
      </w:r>
      <w:proofErr w:type="spellStart"/>
      <w:r w:rsidRPr="00DA5151">
        <w:rPr>
          <w:color w:val="000000"/>
          <w:spacing w:val="-8"/>
          <w:w w:val="105"/>
        </w:rPr>
        <w:t>nonrespondents</w:t>
      </w:r>
      <w:proofErr w:type="spellEnd"/>
      <w:r w:rsidRPr="00DA5151">
        <w:rPr>
          <w:color w:val="000000"/>
          <w:spacing w:val="-8"/>
          <w:w w:val="105"/>
        </w:rPr>
        <w:t xml:space="preserve"> respond to the survey we have to use respondents who are similar to </w:t>
      </w:r>
      <w:proofErr w:type="spellStart"/>
      <w:r w:rsidRPr="00DA5151">
        <w:rPr>
          <w:color w:val="000000"/>
          <w:spacing w:val="-8"/>
          <w:w w:val="105"/>
        </w:rPr>
        <w:t>nonrespondents</w:t>
      </w:r>
      <w:proofErr w:type="spellEnd"/>
      <w:r w:rsidRPr="00DA5151">
        <w:rPr>
          <w:color w:val="000000"/>
          <w:spacing w:val="-8"/>
          <w:w w:val="105"/>
        </w:rPr>
        <w:t xml:space="preserve">. Call history information can be used to have reluctant </w:t>
      </w:r>
      <w:proofErr w:type="spellStart"/>
      <w:r w:rsidRPr="00DA5151">
        <w:rPr>
          <w:color w:val="000000"/>
          <w:spacing w:val="-8"/>
          <w:w w:val="105"/>
        </w:rPr>
        <w:t>respondants</w:t>
      </w:r>
      <w:proofErr w:type="spellEnd"/>
      <w:r w:rsidRPr="00DA5151">
        <w:rPr>
          <w:color w:val="000000"/>
          <w:spacing w:val="-8"/>
          <w:w w:val="105"/>
        </w:rPr>
        <w:t xml:space="preserve"> represent refusers and difficult to contact respondents to represent </w:t>
      </w:r>
      <w:proofErr w:type="spellStart"/>
      <w:r w:rsidRPr="00DA5151">
        <w:rPr>
          <w:color w:val="000000"/>
          <w:spacing w:val="-8"/>
          <w:w w:val="105"/>
        </w:rPr>
        <w:t>noncontacts</w:t>
      </w:r>
      <w:proofErr w:type="spellEnd"/>
      <w:r w:rsidRPr="00DA5151">
        <w:rPr>
          <w:color w:val="000000"/>
          <w:spacing w:val="-8"/>
          <w:w w:val="105"/>
        </w:rPr>
        <w:t>.</w:t>
      </w:r>
    </w:p>
    <w:p w:rsidR="008C0078" w:rsidRDefault="00531D5F" w:rsidP="00D00772">
      <w:r>
        <w:t>The nonresponse factor used in the adjustment of the base weights were modified to include propensity scores from the CHI factors related to refusal and noncontact.</w:t>
      </w:r>
    </w:p>
    <w:p w:rsidR="00C545D3" w:rsidRDefault="002044A1" w:rsidP="00461B93">
      <w:pPr>
        <w:rPr>
          <w:b/>
          <w:u w:val="single"/>
        </w:rPr>
      </w:pPr>
      <w:r>
        <w:rPr>
          <w:b/>
          <w:u w:val="single"/>
        </w:rPr>
        <w:br w:type="page"/>
      </w:r>
      <w:r w:rsidR="00461B93" w:rsidRPr="008C0078">
        <w:rPr>
          <w:b/>
          <w:u w:val="single"/>
        </w:rPr>
        <w:lastRenderedPageBreak/>
        <w:t>Re</w:t>
      </w:r>
      <w:r w:rsidR="00461B93">
        <w:rPr>
          <w:b/>
          <w:u w:val="single"/>
        </w:rPr>
        <w:t>sult</w:t>
      </w:r>
      <w:r w:rsidR="00461B93" w:rsidRPr="008C0078">
        <w:rPr>
          <w:b/>
          <w:u w:val="single"/>
        </w:rPr>
        <w:t>s</w:t>
      </w:r>
    </w:p>
    <w:p w:rsidR="00DA5151" w:rsidRPr="002044A1" w:rsidRDefault="002044A1" w:rsidP="00461B93">
      <w:proofErr w:type="gramStart"/>
      <w:r>
        <w:t xml:space="preserve">Table 1: </w:t>
      </w:r>
      <w:r w:rsidR="004F718E">
        <w:t>Unemployment</w:t>
      </w:r>
      <w:r>
        <w:t xml:space="preserve"> estima</w:t>
      </w:r>
      <w:r w:rsidR="004F718E">
        <w:t>tes and standard errors for</w:t>
      </w:r>
      <w:r>
        <w:t xml:space="preserve"> different stages of weighting.</w:t>
      </w:r>
      <w:proofErr w:type="gramEnd"/>
    </w:p>
    <w:tbl>
      <w:tblPr>
        <w:tblW w:w="8827" w:type="dxa"/>
        <w:tblCellMar>
          <w:left w:w="0" w:type="dxa"/>
          <w:right w:w="0" w:type="dxa"/>
        </w:tblCellMar>
        <w:tblLook w:val="04A0"/>
      </w:tblPr>
      <w:tblGrid>
        <w:gridCol w:w="1728"/>
        <w:gridCol w:w="1710"/>
        <w:gridCol w:w="1800"/>
        <w:gridCol w:w="1890"/>
        <w:gridCol w:w="1699"/>
      </w:tblGrid>
      <w:tr w:rsidR="00DA5151" w:rsidTr="002044A1">
        <w:trPr>
          <w:trHeight w:val="609"/>
        </w:trPr>
        <w:tc>
          <w:tcPr>
            <w:tcW w:w="1728"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DA5151" w:rsidRPr="00DA5151" w:rsidRDefault="00DA5151"/>
        </w:tc>
        <w:tc>
          <w:tcPr>
            <w:tcW w:w="171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FFFFFF"/>
                <w:kern w:val="24"/>
              </w:rPr>
              <w:t>Base-weight</w:t>
            </w:r>
          </w:p>
          <w:p w:rsidR="00DA5151" w:rsidRPr="00DA5151" w:rsidRDefault="00DA5151">
            <w:pPr>
              <w:pStyle w:val="NormalWeb"/>
              <w:spacing w:before="0" w:beforeAutospacing="0" w:after="0" w:afterAutospacing="0"/>
            </w:pPr>
            <w:r w:rsidRPr="00DA5151">
              <w:rPr>
                <w:b/>
                <w:bCs/>
                <w:color w:val="FFFFFF"/>
                <w:kern w:val="24"/>
              </w:rPr>
              <w:t xml:space="preserve">   (S.E.)</w:t>
            </w:r>
          </w:p>
        </w:tc>
        <w:tc>
          <w:tcPr>
            <w:tcW w:w="180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FFFFFF"/>
                <w:kern w:val="24"/>
              </w:rPr>
              <w:t xml:space="preserve">NR Adjusted(S.E)    </w:t>
            </w:r>
          </w:p>
        </w:tc>
        <w:tc>
          <w:tcPr>
            <w:tcW w:w="189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FFFFFF"/>
                <w:kern w:val="24"/>
              </w:rPr>
              <w:t xml:space="preserve">CHI Adjusted(S.E) </w:t>
            </w:r>
          </w:p>
        </w:tc>
        <w:tc>
          <w:tcPr>
            <w:tcW w:w="1699"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FFFFFF"/>
                <w:kern w:val="24"/>
              </w:rPr>
              <w:t xml:space="preserve">Published Estimate </w:t>
            </w:r>
          </w:p>
        </w:tc>
      </w:tr>
      <w:tr w:rsidR="00DA5151" w:rsidTr="002044A1">
        <w:trPr>
          <w:trHeight w:val="572"/>
        </w:trPr>
        <w:tc>
          <w:tcPr>
            <w:tcW w:w="1728"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proofErr w:type="spellStart"/>
            <w:r w:rsidRPr="00DA5151">
              <w:rPr>
                <w:color w:val="002060"/>
                <w:kern w:val="24"/>
              </w:rPr>
              <w:t>Unemp</w:t>
            </w:r>
            <w:proofErr w:type="spellEnd"/>
            <w:r w:rsidRPr="00DA5151">
              <w:rPr>
                <w:color w:val="002060"/>
                <w:kern w:val="24"/>
              </w:rPr>
              <w:t xml:space="preserve"> </w:t>
            </w:r>
          </w:p>
        </w:tc>
        <w:tc>
          <w:tcPr>
            <w:tcW w:w="171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color w:val="002060"/>
                <w:kern w:val="24"/>
              </w:rPr>
              <w:t xml:space="preserve"> </w:t>
            </w:r>
            <w:r w:rsidRPr="00DA5151">
              <w:rPr>
                <w:b/>
                <w:bCs/>
                <w:color w:val="002060"/>
                <w:kern w:val="24"/>
              </w:rPr>
              <w:t>0.086</w:t>
            </w:r>
          </w:p>
          <w:p w:rsidR="00DA5151" w:rsidRPr="00DA5151" w:rsidRDefault="00DA5151">
            <w:pPr>
              <w:pStyle w:val="NormalWeb"/>
              <w:spacing w:before="0" w:beforeAutospacing="0" w:after="0" w:afterAutospacing="0"/>
            </w:pPr>
            <w:r w:rsidRPr="00DA5151">
              <w:rPr>
                <w:color w:val="002060"/>
                <w:kern w:val="24"/>
              </w:rPr>
              <w:t xml:space="preserve">   (0.0014) </w:t>
            </w:r>
          </w:p>
        </w:tc>
        <w:tc>
          <w:tcPr>
            <w:tcW w:w="180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0.089</w:t>
            </w:r>
          </w:p>
          <w:p w:rsidR="00DA5151" w:rsidRPr="00DA5151" w:rsidRDefault="00DA5151">
            <w:pPr>
              <w:pStyle w:val="NormalWeb"/>
              <w:spacing w:before="0" w:beforeAutospacing="0" w:after="0" w:afterAutospacing="0"/>
            </w:pPr>
            <w:r w:rsidRPr="00DA5151">
              <w:rPr>
                <w:color w:val="002060"/>
                <w:kern w:val="24"/>
              </w:rPr>
              <w:t xml:space="preserve">   (0.0014) </w:t>
            </w:r>
          </w:p>
        </w:tc>
        <w:tc>
          <w:tcPr>
            <w:tcW w:w="189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0.089</w:t>
            </w:r>
          </w:p>
          <w:p w:rsidR="00DA5151" w:rsidRPr="00DA5151" w:rsidRDefault="00DA5151">
            <w:pPr>
              <w:pStyle w:val="NormalWeb"/>
              <w:spacing w:before="0" w:beforeAutospacing="0" w:after="0" w:afterAutospacing="0"/>
            </w:pPr>
            <w:r w:rsidRPr="00DA5151">
              <w:rPr>
                <w:color w:val="002060"/>
                <w:kern w:val="24"/>
              </w:rPr>
              <w:t xml:space="preserve">   (0.0013) </w:t>
            </w:r>
          </w:p>
        </w:tc>
        <w:tc>
          <w:tcPr>
            <w:tcW w:w="1699"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0.090 </w:t>
            </w:r>
          </w:p>
        </w:tc>
      </w:tr>
      <w:tr w:rsidR="00DA5151" w:rsidTr="002044A1">
        <w:trPr>
          <w:trHeight w:val="486"/>
        </w:trPr>
        <w:tc>
          <w:tcPr>
            <w:tcW w:w="1728"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proofErr w:type="spellStart"/>
            <w:r w:rsidRPr="00DA5151">
              <w:rPr>
                <w:color w:val="002060"/>
                <w:kern w:val="24"/>
              </w:rPr>
              <w:t>Unemp</w:t>
            </w:r>
            <w:proofErr w:type="spellEnd"/>
            <w:r w:rsidRPr="00DA5151">
              <w:rPr>
                <w:color w:val="002060"/>
                <w:kern w:val="24"/>
              </w:rPr>
              <w:t xml:space="preserve"> Male </w:t>
            </w:r>
          </w:p>
        </w:tc>
        <w:tc>
          <w:tcPr>
            <w:tcW w:w="171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0.088 </w:t>
            </w:r>
          </w:p>
          <w:p w:rsidR="00DA5151" w:rsidRPr="00DA5151" w:rsidRDefault="00DA5151">
            <w:pPr>
              <w:pStyle w:val="NormalWeb"/>
              <w:spacing w:before="0" w:beforeAutospacing="0" w:after="0" w:afterAutospacing="0"/>
            </w:pPr>
            <w:r w:rsidRPr="00DA5151">
              <w:rPr>
                <w:color w:val="002060"/>
                <w:kern w:val="24"/>
              </w:rPr>
              <w:t xml:space="preserve">   (0.0019) </w:t>
            </w:r>
          </w:p>
        </w:tc>
        <w:tc>
          <w:tcPr>
            <w:tcW w:w="180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0.093 </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(0.0018) </w:t>
            </w:r>
          </w:p>
        </w:tc>
        <w:tc>
          <w:tcPr>
            <w:tcW w:w="189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0.093</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(0.0018) </w:t>
            </w:r>
          </w:p>
        </w:tc>
        <w:tc>
          <w:tcPr>
            <w:tcW w:w="1699"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0.094 </w:t>
            </w:r>
          </w:p>
        </w:tc>
      </w:tr>
      <w:tr w:rsidR="00DA5151" w:rsidTr="002044A1">
        <w:trPr>
          <w:trHeight w:val="543"/>
        </w:trPr>
        <w:tc>
          <w:tcPr>
            <w:tcW w:w="1728"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proofErr w:type="spellStart"/>
            <w:r w:rsidRPr="00DA5151">
              <w:rPr>
                <w:color w:val="002060"/>
                <w:kern w:val="24"/>
              </w:rPr>
              <w:t>Unemp</w:t>
            </w:r>
            <w:proofErr w:type="spellEnd"/>
            <w:r w:rsidRPr="00DA5151">
              <w:rPr>
                <w:color w:val="002060"/>
                <w:kern w:val="24"/>
              </w:rPr>
              <w:t xml:space="preserve"> Female </w:t>
            </w:r>
          </w:p>
        </w:tc>
        <w:tc>
          <w:tcPr>
            <w:tcW w:w="171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0.083</w:t>
            </w:r>
          </w:p>
          <w:p w:rsidR="00DA5151" w:rsidRPr="00DA5151" w:rsidRDefault="00DA5151">
            <w:pPr>
              <w:pStyle w:val="NormalWeb"/>
              <w:spacing w:before="0" w:beforeAutospacing="0" w:after="0" w:afterAutospacing="0"/>
            </w:pPr>
            <w:r w:rsidRPr="00DA5151">
              <w:rPr>
                <w:color w:val="002060"/>
                <w:kern w:val="24"/>
              </w:rPr>
              <w:t xml:space="preserve">   (0.0019) </w:t>
            </w:r>
          </w:p>
        </w:tc>
        <w:tc>
          <w:tcPr>
            <w:tcW w:w="180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0.085 </w:t>
            </w:r>
          </w:p>
          <w:p w:rsidR="00DA5151" w:rsidRPr="00DA5151" w:rsidRDefault="00DA5151">
            <w:pPr>
              <w:pStyle w:val="NormalWeb"/>
              <w:spacing w:before="0" w:beforeAutospacing="0" w:after="0" w:afterAutospacing="0"/>
            </w:pPr>
            <w:r w:rsidRPr="00DA5151">
              <w:rPr>
                <w:color w:val="002060"/>
                <w:kern w:val="24"/>
              </w:rPr>
              <w:t xml:space="preserve">   (0.0018) </w:t>
            </w:r>
          </w:p>
        </w:tc>
        <w:tc>
          <w:tcPr>
            <w:tcW w:w="189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color w:val="002060"/>
                <w:kern w:val="24"/>
              </w:rPr>
              <w:t xml:space="preserve"> </w:t>
            </w:r>
            <w:r w:rsidRPr="00DA5151">
              <w:rPr>
                <w:b/>
                <w:bCs/>
                <w:color w:val="002060"/>
                <w:kern w:val="24"/>
              </w:rPr>
              <w:t>0.085</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(0.0018) </w:t>
            </w:r>
          </w:p>
        </w:tc>
        <w:tc>
          <w:tcPr>
            <w:tcW w:w="1699"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0.086 </w:t>
            </w:r>
          </w:p>
        </w:tc>
      </w:tr>
      <w:tr w:rsidR="00DA5151" w:rsidTr="002044A1">
        <w:trPr>
          <w:trHeight w:val="527"/>
        </w:trPr>
        <w:tc>
          <w:tcPr>
            <w:tcW w:w="1728"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proofErr w:type="spellStart"/>
            <w:r w:rsidRPr="00DA5151">
              <w:rPr>
                <w:color w:val="002060"/>
                <w:kern w:val="24"/>
              </w:rPr>
              <w:t>Unemp</w:t>
            </w:r>
            <w:proofErr w:type="spellEnd"/>
            <w:r w:rsidRPr="00DA5151">
              <w:rPr>
                <w:color w:val="002060"/>
                <w:kern w:val="24"/>
              </w:rPr>
              <w:t xml:space="preserve"> Asian </w:t>
            </w:r>
          </w:p>
        </w:tc>
        <w:tc>
          <w:tcPr>
            <w:tcW w:w="171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0.070 </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(0.0048)                </w:t>
            </w:r>
          </w:p>
        </w:tc>
        <w:tc>
          <w:tcPr>
            <w:tcW w:w="180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0.073</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(0.0053) </w:t>
            </w:r>
          </w:p>
        </w:tc>
        <w:tc>
          <w:tcPr>
            <w:tcW w:w="189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0.074 </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(0.0053) </w:t>
            </w:r>
          </w:p>
        </w:tc>
        <w:tc>
          <w:tcPr>
            <w:tcW w:w="1699"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0.071 </w:t>
            </w:r>
          </w:p>
        </w:tc>
      </w:tr>
      <w:tr w:rsidR="00DA5151" w:rsidTr="002044A1">
        <w:trPr>
          <w:trHeight w:val="461"/>
        </w:trPr>
        <w:tc>
          <w:tcPr>
            <w:tcW w:w="1728"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proofErr w:type="spellStart"/>
            <w:r w:rsidRPr="00DA5151">
              <w:rPr>
                <w:color w:val="002060"/>
                <w:kern w:val="24"/>
              </w:rPr>
              <w:t>Unemp</w:t>
            </w:r>
            <w:proofErr w:type="spellEnd"/>
            <w:r w:rsidRPr="00DA5151">
              <w:rPr>
                <w:color w:val="002060"/>
                <w:kern w:val="24"/>
              </w:rPr>
              <w:t xml:space="preserve"> Black </w:t>
            </w:r>
          </w:p>
        </w:tc>
        <w:tc>
          <w:tcPr>
            <w:tcW w:w="171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color w:val="002060"/>
                <w:kern w:val="24"/>
              </w:rPr>
              <w:t xml:space="preserve"> </w:t>
            </w:r>
            <w:r w:rsidRPr="00DA5151">
              <w:rPr>
                <w:b/>
                <w:bCs/>
                <w:color w:val="002060"/>
                <w:kern w:val="24"/>
              </w:rPr>
              <w:t>0.148</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(0.0052) </w:t>
            </w:r>
          </w:p>
        </w:tc>
        <w:tc>
          <w:tcPr>
            <w:tcW w:w="180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0.149</w:t>
            </w:r>
          </w:p>
          <w:p w:rsidR="00DA5151" w:rsidRPr="00DA5151" w:rsidRDefault="00DA5151">
            <w:pPr>
              <w:pStyle w:val="NormalWeb"/>
              <w:spacing w:before="0" w:beforeAutospacing="0" w:after="0" w:afterAutospacing="0"/>
            </w:pPr>
            <w:r w:rsidRPr="00DA5151">
              <w:rPr>
                <w:color w:val="002060"/>
                <w:kern w:val="24"/>
              </w:rPr>
              <w:t xml:space="preserve">   (0.0048) </w:t>
            </w:r>
          </w:p>
        </w:tc>
        <w:tc>
          <w:tcPr>
            <w:tcW w:w="189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color w:val="002060"/>
                <w:kern w:val="24"/>
              </w:rPr>
              <w:t xml:space="preserve"> </w:t>
            </w:r>
            <w:r w:rsidRPr="00DA5151">
              <w:rPr>
                <w:b/>
                <w:bCs/>
                <w:color w:val="002060"/>
                <w:kern w:val="24"/>
              </w:rPr>
              <w:t>0.149</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(0.0048) </w:t>
            </w:r>
          </w:p>
        </w:tc>
        <w:tc>
          <w:tcPr>
            <w:tcW w:w="1699"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0.152 </w:t>
            </w:r>
          </w:p>
        </w:tc>
      </w:tr>
      <w:tr w:rsidR="00DA5151" w:rsidTr="002044A1">
        <w:trPr>
          <w:trHeight w:val="585"/>
        </w:trPr>
        <w:tc>
          <w:tcPr>
            <w:tcW w:w="1728"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proofErr w:type="spellStart"/>
            <w:r w:rsidRPr="00DA5151">
              <w:rPr>
                <w:color w:val="002060"/>
                <w:kern w:val="24"/>
              </w:rPr>
              <w:t>Unemp</w:t>
            </w:r>
            <w:proofErr w:type="spellEnd"/>
            <w:r w:rsidRPr="00DA5151">
              <w:rPr>
                <w:color w:val="002060"/>
                <w:kern w:val="24"/>
              </w:rPr>
              <w:t xml:space="preserve"> White </w:t>
            </w:r>
          </w:p>
        </w:tc>
        <w:tc>
          <w:tcPr>
            <w:tcW w:w="171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0.078</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(0.0015) </w:t>
            </w:r>
          </w:p>
        </w:tc>
        <w:tc>
          <w:tcPr>
            <w:tcW w:w="180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0.081</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(0.0014) </w:t>
            </w:r>
          </w:p>
        </w:tc>
        <w:tc>
          <w:tcPr>
            <w:tcW w:w="189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color w:val="002060"/>
                <w:kern w:val="24"/>
              </w:rPr>
              <w:t xml:space="preserve"> </w:t>
            </w:r>
            <w:r w:rsidRPr="00DA5151">
              <w:rPr>
                <w:b/>
                <w:bCs/>
                <w:color w:val="002060"/>
                <w:kern w:val="24"/>
              </w:rPr>
              <w:t>0.081</w:t>
            </w:r>
            <w:r w:rsidRPr="00DA5151">
              <w:rPr>
                <w:color w:val="002060"/>
                <w:kern w:val="24"/>
              </w:rPr>
              <w:t xml:space="preserve"> </w:t>
            </w:r>
          </w:p>
          <w:p w:rsidR="00DA5151" w:rsidRPr="00DA5151" w:rsidRDefault="00DA5151">
            <w:pPr>
              <w:pStyle w:val="NormalWeb"/>
              <w:spacing w:before="0" w:beforeAutospacing="0" w:after="0" w:afterAutospacing="0"/>
            </w:pPr>
            <w:r w:rsidRPr="00DA5151">
              <w:rPr>
                <w:color w:val="002060"/>
                <w:kern w:val="24"/>
              </w:rPr>
              <w:t xml:space="preserve">   (0.0014) </w:t>
            </w:r>
          </w:p>
        </w:tc>
        <w:tc>
          <w:tcPr>
            <w:tcW w:w="1699"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DA5151" w:rsidRPr="00DA5151" w:rsidRDefault="00DA5151">
            <w:pPr>
              <w:pStyle w:val="NormalWeb"/>
              <w:spacing w:before="0" w:beforeAutospacing="0" w:after="0" w:afterAutospacing="0"/>
            </w:pPr>
            <w:r w:rsidRPr="00DA5151">
              <w:rPr>
                <w:b/>
                <w:bCs/>
                <w:color w:val="002060"/>
                <w:kern w:val="24"/>
              </w:rPr>
              <w:t xml:space="preserve">0.081 </w:t>
            </w:r>
          </w:p>
        </w:tc>
      </w:tr>
    </w:tbl>
    <w:p w:rsidR="00A755DA" w:rsidRDefault="00A755DA" w:rsidP="00461B93"/>
    <w:p w:rsidR="00DA5151" w:rsidRDefault="00A755DA" w:rsidP="00461B93">
      <w:r w:rsidRPr="00A755DA">
        <w:t>T</w:t>
      </w:r>
      <w:r w:rsidR="003C6DF2">
        <w:t>able 1 shows that</w:t>
      </w:r>
      <w:r w:rsidRPr="00A755DA">
        <w:t xml:space="preserve"> differences between the </w:t>
      </w:r>
      <w:proofErr w:type="spellStart"/>
      <w:r w:rsidRPr="00A755DA">
        <w:t>baseweight</w:t>
      </w:r>
      <w:proofErr w:type="spellEnd"/>
      <w:r w:rsidRPr="00A755DA">
        <w:t xml:space="preserve"> estimates and the nonresponse estimates were small relative to their standard errors (but sometimes statistically significant at alpha=.05), and the differences between the nonresponse adjusted weights were even smaller (and not significantly different).   For example, unemployment differences greater than 3 tenths of a percent are considered “interesting” to economists; the difference between the </w:t>
      </w:r>
      <w:proofErr w:type="spellStart"/>
      <w:r w:rsidRPr="00A755DA">
        <w:t>baseweighted</w:t>
      </w:r>
      <w:proofErr w:type="spellEnd"/>
      <w:r w:rsidRPr="00A755DA">
        <w:t xml:space="preserve"> estimate and the nonresponse adjusted estimate is .003.  The difference between the </w:t>
      </w:r>
      <w:r w:rsidR="003C6DF2">
        <w:t xml:space="preserve">traditional </w:t>
      </w:r>
      <w:r w:rsidRPr="00A755DA">
        <w:t>nonresponse adjusted estimate</w:t>
      </w:r>
      <w:r w:rsidR="003C6DF2">
        <w:t xml:space="preserve"> and the CHI adjusted </w:t>
      </w:r>
      <w:proofErr w:type="gramStart"/>
      <w:r w:rsidR="003C6DF2">
        <w:t xml:space="preserve">estimate </w:t>
      </w:r>
      <w:r w:rsidRPr="00A755DA">
        <w:t xml:space="preserve"> is</w:t>
      </w:r>
      <w:proofErr w:type="gramEnd"/>
      <w:r w:rsidRPr="00A755DA">
        <w:t xml:space="preserve"> only .0001.</w:t>
      </w:r>
    </w:p>
    <w:p w:rsidR="00116C1B" w:rsidRDefault="00116C1B" w:rsidP="00461B93"/>
    <w:p w:rsidR="00A755DA" w:rsidRPr="00A755DA" w:rsidRDefault="004F718E" w:rsidP="00461B93">
      <w:r>
        <w:t>Table 2: Mean estimates for different stages of weighting.</w:t>
      </w:r>
    </w:p>
    <w:tbl>
      <w:tblPr>
        <w:tblW w:w="10180" w:type="dxa"/>
        <w:tblCellMar>
          <w:left w:w="0" w:type="dxa"/>
          <w:right w:w="0" w:type="dxa"/>
        </w:tblCellMar>
        <w:tblLook w:val="04A0"/>
      </w:tblPr>
      <w:tblGrid>
        <w:gridCol w:w="1800"/>
        <w:gridCol w:w="2880"/>
        <w:gridCol w:w="2760"/>
        <w:gridCol w:w="2740"/>
      </w:tblGrid>
      <w:tr w:rsidR="00A755DA" w:rsidTr="004F718E">
        <w:trPr>
          <w:trHeight w:val="388"/>
        </w:trPr>
        <w:tc>
          <w:tcPr>
            <w:tcW w:w="180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A755DA" w:rsidRPr="00A755DA" w:rsidRDefault="00A755DA"/>
        </w:tc>
        <w:tc>
          <w:tcPr>
            <w:tcW w:w="288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A755DA" w:rsidRPr="00A755DA" w:rsidRDefault="00A755DA">
            <w:pPr>
              <w:pStyle w:val="NormalWeb"/>
              <w:spacing w:before="0" w:beforeAutospacing="0" w:after="0" w:afterAutospacing="0"/>
            </w:pPr>
            <w:proofErr w:type="spellStart"/>
            <w:r w:rsidRPr="00A755DA">
              <w:rPr>
                <w:b/>
                <w:bCs/>
                <w:color w:val="FFFFFF"/>
                <w:kern w:val="24"/>
              </w:rPr>
              <w:t>Baseweight</w:t>
            </w:r>
            <w:proofErr w:type="spellEnd"/>
            <w:r w:rsidRPr="00A755DA">
              <w:rPr>
                <w:b/>
                <w:bCs/>
                <w:color w:val="FFFFFF"/>
                <w:kern w:val="24"/>
              </w:rPr>
              <w:t>(S.E.)</w:t>
            </w:r>
          </w:p>
        </w:tc>
        <w:tc>
          <w:tcPr>
            <w:tcW w:w="276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FFFFFF"/>
                <w:kern w:val="24"/>
              </w:rPr>
              <w:t xml:space="preserve">NR Adjusted(S.E)    </w:t>
            </w:r>
          </w:p>
        </w:tc>
        <w:tc>
          <w:tcPr>
            <w:tcW w:w="2740" w:type="dxa"/>
            <w:tcBorders>
              <w:top w:val="single" w:sz="8" w:space="0" w:color="FFFFFF"/>
              <w:left w:val="single" w:sz="8" w:space="0" w:color="FFFFFF"/>
              <w:bottom w:val="single" w:sz="24" w:space="0" w:color="FFFFFF"/>
              <w:right w:val="single" w:sz="8" w:space="0" w:color="FFFFFF"/>
            </w:tcBorders>
            <w:shd w:val="clear" w:color="auto" w:fill="3E3F67"/>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FFFFFF"/>
                <w:kern w:val="24"/>
              </w:rPr>
              <w:t xml:space="preserve">CHI Adjusted(S.E) </w:t>
            </w:r>
          </w:p>
        </w:tc>
      </w:tr>
      <w:tr w:rsidR="00A755DA" w:rsidTr="004F718E">
        <w:trPr>
          <w:trHeight w:val="555"/>
        </w:trPr>
        <w:tc>
          <w:tcPr>
            <w:tcW w:w="180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color w:val="002060"/>
                <w:kern w:val="24"/>
              </w:rPr>
              <w:t xml:space="preserve"> Age          </w:t>
            </w:r>
          </w:p>
        </w:tc>
        <w:tc>
          <w:tcPr>
            <w:tcW w:w="288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37.85</w:t>
            </w:r>
          </w:p>
          <w:p w:rsidR="00A755DA" w:rsidRPr="00A755DA" w:rsidRDefault="00A755DA">
            <w:pPr>
              <w:pStyle w:val="NormalWeb"/>
              <w:spacing w:before="0" w:beforeAutospacing="0" w:after="0" w:afterAutospacing="0"/>
            </w:pPr>
            <w:r w:rsidRPr="00A755DA">
              <w:rPr>
                <w:color w:val="002060"/>
                <w:kern w:val="24"/>
              </w:rPr>
              <w:t xml:space="preserve">   (0.114) </w:t>
            </w:r>
          </w:p>
        </w:tc>
        <w:tc>
          <w:tcPr>
            <w:tcW w:w="276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37.74</w:t>
            </w:r>
          </w:p>
          <w:p w:rsidR="00A755DA" w:rsidRPr="00A755DA" w:rsidRDefault="00A755DA">
            <w:pPr>
              <w:pStyle w:val="NormalWeb"/>
              <w:spacing w:before="0" w:beforeAutospacing="0" w:after="0" w:afterAutospacing="0"/>
            </w:pPr>
            <w:r w:rsidRPr="00A755DA">
              <w:rPr>
                <w:color w:val="002060"/>
                <w:kern w:val="24"/>
              </w:rPr>
              <w:t xml:space="preserve">   (0.108) </w:t>
            </w:r>
          </w:p>
        </w:tc>
        <w:tc>
          <w:tcPr>
            <w:tcW w:w="2740" w:type="dxa"/>
            <w:tcBorders>
              <w:top w:val="single" w:sz="24"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37.75</w:t>
            </w:r>
          </w:p>
          <w:p w:rsidR="00A755DA" w:rsidRPr="00A755DA" w:rsidRDefault="00A755DA">
            <w:pPr>
              <w:pStyle w:val="NormalWeb"/>
              <w:spacing w:before="0" w:beforeAutospacing="0" w:after="0" w:afterAutospacing="0"/>
            </w:pPr>
            <w:r w:rsidRPr="00A755DA">
              <w:rPr>
                <w:color w:val="002060"/>
                <w:kern w:val="24"/>
              </w:rPr>
              <w:t xml:space="preserve">   (0.107) </w:t>
            </w:r>
          </w:p>
        </w:tc>
      </w:tr>
      <w:tr w:rsidR="00A755DA" w:rsidTr="004F718E">
        <w:trPr>
          <w:trHeight w:val="505"/>
        </w:trPr>
        <w:tc>
          <w:tcPr>
            <w:tcW w:w="180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color w:val="002060"/>
                <w:kern w:val="24"/>
              </w:rPr>
              <w:t xml:space="preserve">Male </w:t>
            </w:r>
          </w:p>
        </w:tc>
        <w:tc>
          <w:tcPr>
            <w:tcW w:w="288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0.487</w:t>
            </w:r>
          </w:p>
          <w:p w:rsidR="00A755DA" w:rsidRPr="00A755DA" w:rsidRDefault="00A755DA">
            <w:pPr>
              <w:pStyle w:val="NormalWeb"/>
              <w:spacing w:before="0" w:beforeAutospacing="0" w:after="0" w:afterAutospacing="0"/>
            </w:pPr>
            <w:r w:rsidRPr="00A755DA">
              <w:rPr>
                <w:color w:val="002060"/>
                <w:kern w:val="24"/>
              </w:rPr>
              <w:t xml:space="preserve">   (0.0013) </w:t>
            </w:r>
          </w:p>
        </w:tc>
        <w:tc>
          <w:tcPr>
            <w:tcW w:w="276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0.487</w:t>
            </w:r>
          </w:p>
          <w:p w:rsidR="00A755DA" w:rsidRPr="00A755DA" w:rsidRDefault="00A755DA">
            <w:pPr>
              <w:pStyle w:val="NormalWeb"/>
              <w:spacing w:before="0" w:beforeAutospacing="0" w:after="0" w:afterAutospacing="0"/>
            </w:pPr>
            <w:r w:rsidRPr="00A755DA">
              <w:rPr>
                <w:color w:val="002060"/>
                <w:kern w:val="24"/>
              </w:rPr>
              <w:t xml:space="preserve">   (0.0012) </w:t>
            </w:r>
          </w:p>
        </w:tc>
        <w:tc>
          <w:tcPr>
            <w:tcW w:w="274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0.487</w:t>
            </w:r>
          </w:p>
          <w:p w:rsidR="00A755DA" w:rsidRPr="00A755DA" w:rsidRDefault="00A755DA">
            <w:pPr>
              <w:pStyle w:val="NormalWeb"/>
              <w:spacing w:before="0" w:beforeAutospacing="0" w:after="0" w:afterAutospacing="0"/>
            </w:pPr>
            <w:r w:rsidRPr="00A755DA">
              <w:rPr>
                <w:color w:val="002060"/>
                <w:kern w:val="24"/>
              </w:rPr>
              <w:t xml:space="preserve">   (0.0012) </w:t>
            </w:r>
          </w:p>
        </w:tc>
      </w:tr>
      <w:tr w:rsidR="00A755DA" w:rsidTr="004F718E">
        <w:trPr>
          <w:trHeight w:val="460"/>
        </w:trPr>
        <w:tc>
          <w:tcPr>
            <w:tcW w:w="180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color w:val="002060"/>
                <w:kern w:val="24"/>
              </w:rPr>
              <w:t xml:space="preserve">Earnings </w:t>
            </w:r>
          </w:p>
        </w:tc>
        <w:tc>
          <w:tcPr>
            <w:tcW w:w="288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 xml:space="preserve">26716 </w:t>
            </w:r>
            <w:r w:rsidRPr="00A755DA">
              <w:rPr>
                <w:color w:val="002060"/>
                <w:kern w:val="24"/>
              </w:rPr>
              <w:t xml:space="preserve"> </w:t>
            </w:r>
          </w:p>
          <w:p w:rsidR="00A755DA" w:rsidRPr="00A755DA" w:rsidRDefault="00A755DA">
            <w:pPr>
              <w:pStyle w:val="NormalWeb"/>
              <w:spacing w:before="0" w:beforeAutospacing="0" w:after="0" w:afterAutospacing="0"/>
            </w:pPr>
            <w:r w:rsidRPr="00A755DA">
              <w:rPr>
                <w:color w:val="002060"/>
                <w:kern w:val="24"/>
              </w:rPr>
              <w:t xml:space="preserve">   (701) </w:t>
            </w:r>
          </w:p>
        </w:tc>
        <w:tc>
          <w:tcPr>
            <w:tcW w:w="276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26020</w:t>
            </w:r>
            <w:r w:rsidRPr="00A755DA">
              <w:rPr>
                <w:color w:val="002060"/>
                <w:kern w:val="24"/>
              </w:rPr>
              <w:t xml:space="preserve">   </w:t>
            </w:r>
          </w:p>
          <w:p w:rsidR="00A755DA" w:rsidRPr="00A755DA" w:rsidRDefault="00A755DA">
            <w:pPr>
              <w:pStyle w:val="NormalWeb"/>
              <w:spacing w:before="0" w:beforeAutospacing="0" w:after="0" w:afterAutospacing="0"/>
            </w:pPr>
            <w:r w:rsidRPr="00A755DA">
              <w:rPr>
                <w:color w:val="002060"/>
                <w:kern w:val="24"/>
              </w:rPr>
              <w:t xml:space="preserve">   (666) </w:t>
            </w:r>
          </w:p>
        </w:tc>
        <w:tc>
          <w:tcPr>
            <w:tcW w:w="2740" w:type="dxa"/>
            <w:tcBorders>
              <w:top w:val="single" w:sz="8" w:space="0" w:color="FFFFFF"/>
              <w:left w:val="single" w:sz="8" w:space="0" w:color="FFFFFF"/>
              <w:bottom w:val="single" w:sz="8" w:space="0" w:color="FFFFFF"/>
              <w:right w:val="single" w:sz="8" w:space="0" w:color="FFFFFF"/>
            </w:tcBorders>
            <w:shd w:val="clear" w:color="auto" w:fill="CECED3"/>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color w:val="002060"/>
                <w:kern w:val="24"/>
              </w:rPr>
              <w:t xml:space="preserve"> </w:t>
            </w:r>
            <w:r w:rsidRPr="00A755DA">
              <w:rPr>
                <w:b/>
                <w:bCs/>
                <w:color w:val="002060"/>
                <w:kern w:val="24"/>
              </w:rPr>
              <w:t>26033</w:t>
            </w:r>
            <w:r w:rsidRPr="00A755DA">
              <w:rPr>
                <w:color w:val="002060"/>
                <w:kern w:val="24"/>
              </w:rPr>
              <w:t xml:space="preserve">     </w:t>
            </w:r>
          </w:p>
          <w:p w:rsidR="00A755DA" w:rsidRPr="00A755DA" w:rsidRDefault="00A755DA">
            <w:pPr>
              <w:pStyle w:val="NormalWeb"/>
              <w:spacing w:before="0" w:beforeAutospacing="0" w:after="0" w:afterAutospacing="0"/>
            </w:pPr>
            <w:r w:rsidRPr="00A755DA">
              <w:rPr>
                <w:color w:val="002060"/>
                <w:kern w:val="24"/>
              </w:rPr>
              <w:t xml:space="preserve">   (663) </w:t>
            </w:r>
          </w:p>
        </w:tc>
      </w:tr>
      <w:tr w:rsidR="00A755DA" w:rsidTr="004F718E">
        <w:trPr>
          <w:trHeight w:val="595"/>
        </w:trPr>
        <w:tc>
          <w:tcPr>
            <w:tcW w:w="180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color w:val="002060"/>
                <w:kern w:val="24"/>
              </w:rPr>
              <w:t xml:space="preserve">Disability </w:t>
            </w:r>
          </w:p>
        </w:tc>
        <w:tc>
          <w:tcPr>
            <w:tcW w:w="288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color w:val="002060"/>
                <w:kern w:val="24"/>
              </w:rPr>
              <w:t xml:space="preserve"> </w:t>
            </w:r>
            <w:r w:rsidRPr="00A755DA">
              <w:rPr>
                <w:b/>
                <w:bCs/>
                <w:color w:val="002060"/>
                <w:kern w:val="24"/>
              </w:rPr>
              <w:t>0.115</w:t>
            </w:r>
            <w:r w:rsidRPr="00A755DA">
              <w:rPr>
                <w:color w:val="002060"/>
                <w:kern w:val="24"/>
              </w:rPr>
              <w:t xml:space="preserve">       </w:t>
            </w:r>
          </w:p>
          <w:p w:rsidR="00A755DA" w:rsidRPr="00A755DA" w:rsidRDefault="00A755DA">
            <w:pPr>
              <w:pStyle w:val="NormalWeb"/>
              <w:spacing w:before="0" w:beforeAutospacing="0" w:after="0" w:afterAutospacing="0"/>
            </w:pPr>
            <w:r w:rsidRPr="00A755DA">
              <w:rPr>
                <w:color w:val="002060"/>
                <w:kern w:val="24"/>
              </w:rPr>
              <w:t xml:space="preserve">   (0.0014) </w:t>
            </w:r>
          </w:p>
        </w:tc>
        <w:tc>
          <w:tcPr>
            <w:tcW w:w="276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0.113</w:t>
            </w:r>
          </w:p>
          <w:p w:rsidR="00A755DA" w:rsidRPr="00A755DA" w:rsidRDefault="00A755DA">
            <w:pPr>
              <w:pStyle w:val="NormalWeb"/>
              <w:spacing w:before="0" w:beforeAutospacing="0" w:after="0" w:afterAutospacing="0"/>
            </w:pPr>
            <w:r w:rsidRPr="00A755DA">
              <w:rPr>
                <w:color w:val="002060"/>
                <w:kern w:val="24"/>
              </w:rPr>
              <w:t xml:space="preserve">   (0.0012) </w:t>
            </w:r>
          </w:p>
        </w:tc>
        <w:tc>
          <w:tcPr>
            <w:tcW w:w="2740" w:type="dxa"/>
            <w:tcBorders>
              <w:top w:val="single" w:sz="8" w:space="0" w:color="FFFFFF"/>
              <w:left w:val="single" w:sz="8" w:space="0" w:color="FFFFFF"/>
              <w:bottom w:val="single" w:sz="8" w:space="0" w:color="FFFFFF"/>
              <w:right w:val="single" w:sz="8" w:space="0" w:color="FFFFFF"/>
            </w:tcBorders>
            <w:shd w:val="clear" w:color="auto" w:fill="E8E8EB"/>
            <w:tcMar>
              <w:top w:w="15" w:type="dxa"/>
              <w:left w:w="108" w:type="dxa"/>
              <w:bottom w:w="0" w:type="dxa"/>
              <w:right w:w="108" w:type="dxa"/>
            </w:tcMar>
            <w:hideMark/>
          </w:tcPr>
          <w:p w:rsidR="00A755DA" w:rsidRPr="00A755DA" w:rsidRDefault="00A755DA">
            <w:pPr>
              <w:pStyle w:val="NormalWeb"/>
              <w:spacing w:before="0" w:beforeAutospacing="0" w:after="0" w:afterAutospacing="0"/>
            </w:pPr>
            <w:r w:rsidRPr="00A755DA">
              <w:rPr>
                <w:b/>
                <w:bCs/>
                <w:color w:val="002060"/>
                <w:kern w:val="24"/>
              </w:rPr>
              <w:t>0.113</w:t>
            </w:r>
          </w:p>
          <w:p w:rsidR="00A755DA" w:rsidRPr="00A755DA" w:rsidRDefault="00A755DA">
            <w:pPr>
              <w:pStyle w:val="NormalWeb"/>
              <w:spacing w:before="0" w:beforeAutospacing="0" w:after="0" w:afterAutospacing="0"/>
            </w:pPr>
            <w:r w:rsidRPr="00A755DA">
              <w:rPr>
                <w:color w:val="002060"/>
                <w:kern w:val="24"/>
              </w:rPr>
              <w:t xml:space="preserve">   (0.0012) </w:t>
            </w:r>
          </w:p>
        </w:tc>
      </w:tr>
    </w:tbl>
    <w:p w:rsidR="00A755DA" w:rsidRPr="008C0078" w:rsidRDefault="00A755DA" w:rsidP="00461B93">
      <w:pPr>
        <w:rPr>
          <w:b/>
          <w:u w:val="single"/>
        </w:rPr>
      </w:pPr>
    </w:p>
    <w:p w:rsidR="003C6DF2" w:rsidRDefault="003C6DF2" w:rsidP="00A755DA">
      <w:r>
        <w:t xml:space="preserve">Table 2 shows other estimates from the CPS for different weights.  The differences between the </w:t>
      </w:r>
      <w:proofErr w:type="spellStart"/>
      <w:r>
        <w:t>baseweighted</w:t>
      </w:r>
      <w:proofErr w:type="spellEnd"/>
      <w:r>
        <w:t xml:space="preserve"> estimates and the nonresponse adjusted weight estimates were small.  The differences between the two nonresponse adjusted estimates were even smaller.</w:t>
      </w:r>
    </w:p>
    <w:p w:rsidR="003C6DF2" w:rsidRDefault="003C6DF2" w:rsidP="00A755DA"/>
    <w:p w:rsidR="003C6DF2" w:rsidRDefault="003C6DF2" w:rsidP="00A755DA"/>
    <w:p w:rsidR="003C6DF2" w:rsidRPr="003C6DF2" w:rsidRDefault="003C6DF2" w:rsidP="00A755DA"/>
    <w:p w:rsidR="003C6DF2" w:rsidRPr="003C6DF2" w:rsidRDefault="003C6DF2" w:rsidP="00A755DA">
      <w:pPr>
        <w:rPr>
          <w:b/>
          <w:u w:val="single"/>
        </w:rPr>
      </w:pPr>
      <w:r>
        <w:rPr>
          <w:b/>
          <w:u w:val="single"/>
        </w:rPr>
        <w:lastRenderedPageBreak/>
        <w:t>Summary</w:t>
      </w:r>
    </w:p>
    <w:p w:rsidR="00A97778" w:rsidRPr="00A755DA" w:rsidRDefault="00A97778" w:rsidP="00A755DA">
      <w:r w:rsidRPr="00A755DA">
        <w:t>The potential biases found were moderate in the unemployment estimates (about 3% underestimate, or .003 percentage points), and were largely adjusted for by the customary adjustment cell method.</w:t>
      </w:r>
    </w:p>
    <w:p w:rsidR="00A97778" w:rsidRDefault="00A97778" w:rsidP="00A755DA">
      <w:r w:rsidRPr="00A755DA">
        <w:t xml:space="preserve">The </w:t>
      </w:r>
      <w:proofErr w:type="gramStart"/>
      <w:r w:rsidRPr="00A755DA">
        <w:t>direction of adjustments were</w:t>
      </w:r>
      <w:proofErr w:type="gramEnd"/>
      <w:r w:rsidRPr="00A755DA">
        <w:t xml:space="preserve"> the same for both methods for all estimates.</w:t>
      </w:r>
    </w:p>
    <w:p w:rsidR="00A97778" w:rsidRPr="00A755DA" w:rsidRDefault="00A97778" w:rsidP="00A755DA">
      <w:r w:rsidRPr="00A755DA">
        <w:t>Surrogate nonresponse is always a leap of faith.  Sensitivity analysis could help show how worried we should be.</w:t>
      </w:r>
    </w:p>
    <w:p w:rsidR="00A97778" w:rsidRPr="00A755DA" w:rsidRDefault="00A97778" w:rsidP="00A755DA">
      <w:r w:rsidRPr="00A755DA">
        <w:t>While this analysis showed slight overall effects for using contact history, larger effects may be present for subgroups or other estimates.</w:t>
      </w:r>
    </w:p>
    <w:p w:rsidR="00A97778" w:rsidRPr="00A755DA" w:rsidRDefault="00A97778" w:rsidP="00A755DA">
      <w:r w:rsidRPr="00A755DA">
        <w:t>While nonresponse may not relate to sampling (and thus weights) it may relate to estimates, so other adjustments may be necessary.</w:t>
      </w:r>
    </w:p>
    <w:p w:rsidR="00A755DA" w:rsidRPr="00A755DA" w:rsidRDefault="00A755DA" w:rsidP="00D00772"/>
    <w:p w:rsidR="005A4211" w:rsidRPr="008C0078" w:rsidRDefault="008C0078" w:rsidP="00D00772">
      <w:pPr>
        <w:rPr>
          <w:b/>
          <w:u w:val="single"/>
        </w:rPr>
      </w:pPr>
      <w:r w:rsidRPr="008C0078">
        <w:rPr>
          <w:b/>
          <w:u w:val="single"/>
        </w:rPr>
        <w:t>References</w:t>
      </w:r>
    </w:p>
    <w:p w:rsidR="00531D5F" w:rsidRDefault="00531D5F" w:rsidP="00531D5F">
      <w:pPr>
        <w:ind w:left="720" w:hanging="720"/>
      </w:pPr>
      <w:r w:rsidRPr="0017377E">
        <w:t xml:space="preserve">Bates, N., </w:t>
      </w:r>
      <w:hyperlink r:id="rId8" w:history="1">
        <w:r w:rsidRPr="0017377E">
          <w:rPr>
            <w:rStyle w:val="Hyperlink"/>
          </w:rPr>
          <w:t xml:space="preserve">Contact Histories: </w:t>
        </w:r>
        <w:proofErr w:type="gramStart"/>
        <w:r w:rsidRPr="0017377E">
          <w:rPr>
            <w:rStyle w:val="Hyperlink"/>
          </w:rPr>
          <w:t>A</w:t>
        </w:r>
        <w:proofErr w:type="gramEnd"/>
        <w:r w:rsidRPr="0017377E">
          <w:rPr>
            <w:rStyle w:val="Hyperlink"/>
          </w:rPr>
          <w:t xml:space="preserve"> Tool for Understanding Attrition in Panel Surveys.</w:t>
        </w:r>
      </w:hyperlink>
      <w:r w:rsidRPr="0017377E">
        <w:t>, A paper presented at the 59th Annual AAPOR Conference, May 11-13, 2004</w:t>
      </w:r>
    </w:p>
    <w:p w:rsidR="00531D5F" w:rsidRDefault="00531D5F" w:rsidP="00531D5F">
      <w:pPr>
        <w:ind w:left="720" w:hanging="720"/>
      </w:pPr>
      <w:r>
        <w:t xml:space="preserve">Bates, N., Dahlhamer, J., and Singer, E., “Privacy Concerns, Too Busy, or Just Not Interested?  Exploring the Relationship </w:t>
      </w:r>
      <w:proofErr w:type="gramStart"/>
      <w:r>
        <w:t>Between</w:t>
      </w:r>
      <w:proofErr w:type="gramEnd"/>
      <w:r>
        <w:t xml:space="preserve"> Doorstep Concerns and Nonresponse Bias”, Journal of Official Statistics, Vol. 24.4, December, 2008.</w:t>
      </w:r>
    </w:p>
    <w:p w:rsidR="00531D5F" w:rsidRDefault="00531D5F" w:rsidP="00531D5F">
      <w:pPr>
        <w:ind w:left="720" w:hanging="720"/>
      </w:pPr>
      <w:proofErr w:type="spellStart"/>
      <w:r>
        <w:t>Chopova</w:t>
      </w:r>
      <w:proofErr w:type="spellEnd"/>
      <w:r>
        <w:t xml:space="preserve">, B., Edgar, J., Gonzalez, J., King, S., McGrath, D., and Tan, L., “Assessing nonresponse bias in the CE Interview Survey: A summary of four studies”, presented at the Federal Committee for Statistical Methodology </w:t>
      </w:r>
      <w:r w:rsidRPr="00836C85">
        <w:rPr>
          <w:bCs/>
        </w:rPr>
        <w:t>Workshop on How to Do Nonresponse Bias Analyses in Household and Establishment Surveys</w:t>
      </w:r>
      <w:r>
        <w:t>, June 10, 2009.</w:t>
      </w:r>
    </w:p>
    <w:p w:rsidR="00531D5F" w:rsidRDefault="00531D5F" w:rsidP="00531D5F">
      <w:pPr>
        <w:ind w:left="720" w:hanging="720"/>
      </w:pPr>
      <w:r>
        <w:t>Dahlhamer, J., Simile, C., and Taylor, B., “Exploring the Impact of Participant Reluctance on Data Quality in the National Health Interview Survey (NHIS)”, paper presented at the Statistics Canada Symposium; Methodological Issues in Measuring Health, 2006.</w:t>
      </w:r>
    </w:p>
    <w:p w:rsidR="00531D5F" w:rsidRPr="00543350" w:rsidRDefault="00531D5F" w:rsidP="00531D5F">
      <w:pPr>
        <w:ind w:left="720" w:hanging="720"/>
      </w:pPr>
      <w:r w:rsidRPr="00543350">
        <w:t>Dixon, J., “The Effects of Item and Unit Nonresponse on Estimates of Labor Force Participation”, Paper presented at the Joint Statistical Meetings, N.Y., N.Y., 2002.</w:t>
      </w:r>
    </w:p>
    <w:p w:rsidR="00531D5F" w:rsidRPr="007F408E" w:rsidRDefault="00531D5F" w:rsidP="00531D5F">
      <w:pPr>
        <w:pStyle w:val="BodyText"/>
        <w:spacing w:after="0"/>
        <w:ind w:left="720" w:hanging="720"/>
      </w:pPr>
      <w:r w:rsidRPr="007F408E">
        <w:t>Dixon, J., “Models of Nonresponse Bias, Survey Quality, Paradata, and Household Characteristics in the Consumer Expenditure Survey.”, A paper presented at the International Survey Nonresponse Workshop, Omaha, Nebraska, 2006.</w:t>
      </w:r>
    </w:p>
    <w:p w:rsidR="00531D5F" w:rsidRPr="00531D5F" w:rsidRDefault="00531D5F" w:rsidP="00531D5F">
      <w:pPr>
        <w:pStyle w:val="Default"/>
        <w:ind w:left="720" w:hanging="720"/>
        <w:rPr>
          <w:bCs/>
        </w:rPr>
      </w:pPr>
      <w:r w:rsidRPr="00531D5F">
        <w:rPr>
          <w:spacing w:val="-8"/>
          <w:w w:val="105"/>
        </w:rPr>
        <w:t xml:space="preserve">Dixon, J., </w:t>
      </w:r>
      <w:proofErr w:type="gramStart"/>
      <w:r w:rsidRPr="00531D5F">
        <w:rPr>
          <w:spacing w:val="-8"/>
          <w:w w:val="105"/>
        </w:rPr>
        <w:t>“</w:t>
      </w:r>
      <w:r w:rsidRPr="00531D5F">
        <w:t xml:space="preserve"> </w:t>
      </w:r>
      <w:r w:rsidRPr="00531D5F">
        <w:rPr>
          <w:bCs/>
        </w:rPr>
        <w:t>Assessing</w:t>
      </w:r>
      <w:proofErr w:type="gramEnd"/>
      <w:r w:rsidRPr="00531D5F">
        <w:rPr>
          <w:bCs/>
        </w:rPr>
        <w:t xml:space="preserve"> Nonresponse Bias and Measurement Error Using Statistical Matching”, presented at the Joint Statistical Meetings, 2010.</w:t>
      </w:r>
    </w:p>
    <w:p w:rsidR="00531D5F" w:rsidRPr="007F408E" w:rsidRDefault="00531D5F" w:rsidP="00531D5F">
      <w:pPr>
        <w:pStyle w:val="BodyText"/>
        <w:spacing w:after="0"/>
        <w:ind w:left="720" w:hanging="720"/>
      </w:pPr>
      <w:r w:rsidRPr="007F408E">
        <w:t>Henley, M., and Bates, N., “Using Call Records to Understand Response in Longitudinal Surveys”, paper presented at the American Association for Public Opinion Research, 2006.</w:t>
      </w:r>
    </w:p>
    <w:p w:rsidR="00531D5F" w:rsidRDefault="00531D5F" w:rsidP="00531D5F">
      <w:pPr>
        <w:ind w:left="720" w:hanging="720"/>
      </w:pPr>
      <w:proofErr w:type="gramStart"/>
      <w:r>
        <w:t xml:space="preserve">Tucker, C., and </w:t>
      </w:r>
      <w:smartTag w:uri="urn:schemas-microsoft-com:office:smarttags" w:element="City">
        <w:smartTag w:uri="urn:schemas-microsoft-com:office:smarttags" w:element="place">
          <w:r>
            <w:t>Dixon</w:t>
          </w:r>
        </w:smartTag>
      </w:smartTag>
      <w:r>
        <w:t xml:space="preserve">, J., “Predicting Interviewer Nonresponse Rates from Household and Regional </w:t>
      </w:r>
      <w:proofErr w:type="spellStart"/>
      <w:r>
        <w:t>Characterstics</w:t>
      </w:r>
      <w:proofErr w:type="spellEnd"/>
      <w:r>
        <w:t>”, Paper presented at AAPOR, 2000.</w:t>
      </w:r>
      <w:proofErr w:type="gramEnd"/>
    </w:p>
    <w:p w:rsidR="00021BC8" w:rsidRDefault="00021BC8" w:rsidP="00021BC8">
      <w:pPr>
        <w:rPr>
          <w:color w:val="000000"/>
          <w:spacing w:val="-8"/>
          <w:w w:val="105"/>
        </w:rPr>
      </w:pPr>
      <w:proofErr w:type="gramStart"/>
      <w:r>
        <w:rPr>
          <w:color w:val="000000"/>
          <w:spacing w:val="-8"/>
          <w:w w:val="105"/>
        </w:rPr>
        <w:t>U.S. Census Bureau.</w:t>
      </w:r>
      <w:proofErr w:type="gramEnd"/>
      <w:r>
        <w:rPr>
          <w:color w:val="000000"/>
          <w:spacing w:val="-8"/>
          <w:w w:val="105"/>
        </w:rPr>
        <w:t xml:space="preserve"> 2006. </w:t>
      </w:r>
      <w:r>
        <w:rPr>
          <w:i/>
          <w:color w:val="000000"/>
          <w:spacing w:val="-8"/>
          <w:w w:val="105"/>
        </w:rPr>
        <w:t>Current Population Survey: Design and Methodology</w:t>
      </w:r>
      <w:r>
        <w:rPr>
          <w:color w:val="000000"/>
          <w:spacing w:val="-8"/>
          <w:w w:val="105"/>
        </w:rPr>
        <w:t xml:space="preserve">. </w:t>
      </w:r>
      <w:proofErr w:type="gramStart"/>
      <w:r>
        <w:rPr>
          <w:color w:val="000000"/>
          <w:w w:val="105"/>
        </w:rPr>
        <w:t>Technical Paper 66.</w:t>
      </w:r>
      <w:proofErr w:type="gramEnd"/>
      <w:r>
        <w:rPr>
          <w:color w:val="000000"/>
          <w:w w:val="105"/>
        </w:rPr>
        <w:t xml:space="preserve"> Washington, DC: Government Printing Office. </w:t>
      </w:r>
      <w:r>
        <w:rPr>
          <w:color w:val="0000FF"/>
          <w:spacing w:val="-4"/>
          <w:w w:val="105"/>
          <w:u w:val="single"/>
        </w:rPr>
        <w:t>(</w:t>
      </w:r>
      <w:hyperlink r:id="rId9" w:history="1">
        <w:r>
          <w:rPr>
            <w:rStyle w:val="Hyperlink"/>
            <w:spacing w:val="-4"/>
            <w:w w:val="105"/>
          </w:rPr>
          <w:t>http://www.census.gov/prod/2006pubs/tp66.pdf)</w:t>
        </w:r>
      </w:hyperlink>
    </w:p>
    <w:p w:rsidR="00021BC8" w:rsidRDefault="00021BC8" w:rsidP="00D00772">
      <w:pPr>
        <w:rPr>
          <w:b/>
        </w:rPr>
      </w:pPr>
    </w:p>
    <w:p w:rsidR="006A039A" w:rsidRDefault="006A039A" w:rsidP="00D00772">
      <w:pPr>
        <w:rPr>
          <w:b/>
        </w:rPr>
      </w:pPr>
      <w:r>
        <w:rPr>
          <w:b/>
        </w:rPr>
        <w:t>Questions:</w:t>
      </w:r>
    </w:p>
    <w:p w:rsidR="006A039A" w:rsidRPr="00116C1B" w:rsidRDefault="006A039A" w:rsidP="006A039A">
      <w:pPr>
        <w:pStyle w:val="ListParagraph"/>
        <w:numPr>
          <w:ilvl w:val="0"/>
          <w:numId w:val="27"/>
        </w:numPr>
        <w:rPr>
          <w:b/>
        </w:rPr>
      </w:pPr>
      <w:r>
        <w:t>Other methods of incorporating nonresponse propensity into weights.</w:t>
      </w:r>
    </w:p>
    <w:p w:rsidR="00116C1B" w:rsidRPr="006A039A" w:rsidRDefault="003C6DF2" w:rsidP="006A039A">
      <w:pPr>
        <w:pStyle w:val="ListParagraph"/>
        <w:numPr>
          <w:ilvl w:val="0"/>
          <w:numId w:val="27"/>
        </w:numPr>
        <w:rPr>
          <w:b/>
        </w:rPr>
      </w:pPr>
      <w:r>
        <w:t>For the sensitivity analysis, what parameters other than the relationship between nonresponse and the estimates would make sense?</w:t>
      </w:r>
    </w:p>
    <w:sectPr w:rsidR="00116C1B" w:rsidRPr="006A039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E7F" w:rsidRDefault="00302E7F" w:rsidP="00BD1DBC">
      <w:r>
        <w:separator/>
      </w:r>
    </w:p>
  </w:endnote>
  <w:endnote w:type="continuationSeparator" w:id="0">
    <w:p w:rsidR="00302E7F" w:rsidRDefault="00302E7F" w:rsidP="00BD1DB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E7F" w:rsidRDefault="00302E7F" w:rsidP="00BD1DBC">
      <w:r>
        <w:separator/>
      </w:r>
    </w:p>
  </w:footnote>
  <w:footnote w:type="continuationSeparator" w:id="0">
    <w:p w:rsidR="00302E7F" w:rsidRDefault="00302E7F" w:rsidP="00BD1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B80"/>
    <w:multiLevelType w:val="multilevel"/>
    <w:tmpl w:val="7E38D1B8"/>
    <w:lvl w:ilvl="0">
      <w:start w:val="1"/>
      <w:numFmt w:val="decimal"/>
      <w:lvlText w:val="%1."/>
      <w:lvlJc w:val="left"/>
      <w:pPr>
        <w:tabs>
          <w:tab w:val="decimal" w:pos="288"/>
        </w:tabs>
        <w:ind w:left="720" w:firstLine="0"/>
      </w:pPr>
      <w:rPr>
        <w:rFonts w:ascii="Arial" w:hAnsi="Arial"/>
        <w:strike w:val="0"/>
        <w:dstrike w:val="0"/>
        <w:color w:val="000000"/>
        <w:spacing w:val="1"/>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D411C5A"/>
    <w:multiLevelType w:val="multilevel"/>
    <w:tmpl w:val="CFD80D8A"/>
    <w:lvl w:ilvl="0">
      <w:start w:val="1"/>
      <w:numFmt w:val="decimal"/>
      <w:lvlText w:val="%1."/>
      <w:lvlJc w:val="left"/>
      <w:pPr>
        <w:tabs>
          <w:tab w:val="decimal" w:pos="288"/>
        </w:tabs>
        <w:ind w:left="720" w:firstLine="0"/>
      </w:pPr>
      <w:rPr>
        <w:rFonts w:ascii="Arial" w:hAnsi="Arial"/>
        <w:strike w:val="0"/>
        <w:dstrike w:val="0"/>
        <w:color w:val="000000"/>
        <w:spacing w:val="-5"/>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ED52BE5"/>
    <w:multiLevelType w:val="multilevel"/>
    <w:tmpl w:val="7AB885C6"/>
    <w:lvl w:ilvl="0">
      <w:start w:val="1"/>
      <w:numFmt w:val="decimal"/>
      <w:lvlText w:val="[%1]"/>
      <w:lvlJc w:val="left"/>
      <w:pPr>
        <w:tabs>
          <w:tab w:val="decimal" w:pos="720"/>
        </w:tabs>
        <w:ind w:left="720" w:firstLine="0"/>
      </w:pPr>
      <w:rPr>
        <w:rFonts w:ascii="Times New Roman" w:hAnsi="Times New Roman"/>
        <w:strike w:val="0"/>
        <w:dstrike w:val="0"/>
        <w:color w:val="000000"/>
        <w:spacing w:val="-5"/>
        <w:w w:val="105"/>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1E66E1"/>
    <w:multiLevelType w:val="hybridMultilevel"/>
    <w:tmpl w:val="2932CBA2"/>
    <w:lvl w:ilvl="0" w:tplc="9A3A12BC">
      <w:start w:val="1"/>
      <w:numFmt w:val="bullet"/>
      <w:lvlText w:val=""/>
      <w:lvlJc w:val="left"/>
      <w:pPr>
        <w:tabs>
          <w:tab w:val="num" w:pos="720"/>
        </w:tabs>
        <w:ind w:left="720" w:hanging="360"/>
      </w:pPr>
      <w:rPr>
        <w:rFonts w:ascii="Wingdings" w:hAnsi="Wingdings" w:hint="default"/>
      </w:rPr>
    </w:lvl>
    <w:lvl w:ilvl="1" w:tplc="F4A2AA94" w:tentative="1">
      <w:start w:val="1"/>
      <w:numFmt w:val="bullet"/>
      <w:lvlText w:val=""/>
      <w:lvlJc w:val="left"/>
      <w:pPr>
        <w:tabs>
          <w:tab w:val="num" w:pos="1440"/>
        </w:tabs>
        <w:ind w:left="1440" w:hanging="360"/>
      </w:pPr>
      <w:rPr>
        <w:rFonts w:ascii="Wingdings" w:hAnsi="Wingdings" w:hint="default"/>
      </w:rPr>
    </w:lvl>
    <w:lvl w:ilvl="2" w:tplc="948C5412" w:tentative="1">
      <w:start w:val="1"/>
      <w:numFmt w:val="bullet"/>
      <w:lvlText w:val=""/>
      <w:lvlJc w:val="left"/>
      <w:pPr>
        <w:tabs>
          <w:tab w:val="num" w:pos="2160"/>
        </w:tabs>
        <w:ind w:left="2160" w:hanging="360"/>
      </w:pPr>
      <w:rPr>
        <w:rFonts w:ascii="Wingdings" w:hAnsi="Wingdings" w:hint="default"/>
      </w:rPr>
    </w:lvl>
    <w:lvl w:ilvl="3" w:tplc="BD0271DC" w:tentative="1">
      <w:start w:val="1"/>
      <w:numFmt w:val="bullet"/>
      <w:lvlText w:val=""/>
      <w:lvlJc w:val="left"/>
      <w:pPr>
        <w:tabs>
          <w:tab w:val="num" w:pos="2880"/>
        </w:tabs>
        <w:ind w:left="2880" w:hanging="360"/>
      </w:pPr>
      <w:rPr>
        <w:rFonts w:ascii="Wingdings" w:hAnsi="Wingdings" w:hint="default"/>
      </w:rPr>
    </w:lvl>
    <w:lvl w:ilvl="4" w:tplc="98E4D69E" w:tentative="1">
      <w:start w:val="1"/>
      <w:numFmt w:val="bullet"/>
      <w:lvlText w:val=""/>
      <w:lvlJc w:val="left"/>
      <w:pPr>
        <w:tabs>
          <w:tab w:val="num" w:pos="3600"/>
        </w:tabs>
        <w:ind w:left="3600" w:hanging="360"/>
      </w:pPr>
      <w:rPr>
        <w:rFonts w:ascii="Wingdings" w:hAnsi="Wingdings" w:hint="default"/>
      </w:rPr>
    </w:lvl>
    <w:lvl w:ilvl="5" w:tplc="1F6CB760" w:tentative="1">
      <w:start w:val="1"/>
      <w:numFmt w:val="bullet"/>
      <w:lvlText w:val=""/>
      <w:lvlJc w:val="left"/>
      <w:pPr>
        <w:tabs>
          <w:tab w:val="num" w:pos="4320"/>
        </w:tabs>
        <w:ind w:left="4320" w:hanging="360"/>
      </w:pPr>
      <w:rPr>
        <w:rFonts w:ascii="Wingdings" w:hAnsi="Wingdings" w:hint="default"/>
      </w:rPr>
    </w:lvl>
    <w:lvl w:ilvl="6" w:tplc="9508BD4E" w:tentative="1">
      <w:start w:val="1"/>
      <w:numFmt w:val="bullet"/>
      <w:lvlText w:val=""/>
      <w:lvlJc w:val="left"/>
      <w:pPr>
        <w:tabs>
          <w:tab w:val="num" w:pos="5040"/>
        </w:tabs>
        <w:ind w:left="5040" w:hanging="360"/>
      </w:pPr>
      <w:rPr>
        <w:rFonts w:ascii="Wingdings" w:hAnsi="Wingdings" w:hint="default"/>
      </w:rPr>
    </w:lvl>
    <w:lvl w:ilvl="7" w:tplc="D1F67216" w:tentative="1">
      <w:start w:val="1"/>
      <w:numFmt w:val="bullet"/>
      <w:lvlText w:val=""/>
      <w:lvlJc w:val="left"/>
      <w:pPr>
        <w:tabs>
          <w:tab w:val="num" w:pos="5760"/>
        </w:tabs>
        <w:ind w:left="5760" w:hanging="360"/>
      </w:pPr>
      <w:rPr>
        <w:rFonts w:ascii="Wingdings" w:hAnsi="Wingdings" w:hint="default"/>
      </w:rPr>
    </w:lvl>
    <w:lvl w:ilvl="8" w:tplc="3F1692D0" w:tentative="1">
      <w:start w:val="1"/>
      <w:numFmt w:val="bullet"/>
      <w:lvlText w:val=""/>
      <w:lvlJc w:val="left"/>
      <w:pPr>
        <w:tabs>
          <w:tab w:val="num" w:pos="6480"/>
        </w:tabs>
        <w:ind w:left="6480" w:hanging="360"/>
      </w:pPr>
      <w:rPr>
        <w:rFonts w:ascii="Wingdings" w:hAnsi="Wingdings" w:hint="default"/>
      </w:rPr>
    </w:lvl>
  </w:abstractNum>
  <w:abstractNum w:abstractNumId="4">
    <w:nsid w:val="1B327853"/>
    <w:multiLevelType w:val="multilevel"/>
    <w:tmpl w:val="9E9A230E"/>
    <w:lvl w:ilvl="0">
      <w:start w:val="1"/>
      <w:numFmt w:val="decimal"/>
      <w:lvlText w:val="%1."/>
      <w:lvlJc w:val="left"/>
      <w:pPr>
        <w:tabs>
          <w:tab w:val="decimal" w:pos="288"/>
        </w:tabs>
        <w:ind w:left="720" w:firstLine="0"/>
      </w:pPr>
      <w:rPr>
        <w:rFonts w:ascii="Arial" w:hAnsi="Arial"/>
        <w:strike w:val="0"/>
        <w:dstrike w:val="0"/>
        <w:color w:val="000000"/>
        <w:spacing w:val="-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CAE084F"/>
    <w:multiLevelType w:val="multilevel"/>
    <w:tmpl w:val="FC4A47A6"/>
    <w:lvl w:ilvl="0">
      <w:start w:val="1"/>
      <w:numFmt w:val="lowerLetter"/>
      <w:lvlText w:val="%1."/>
      <w:lvlJc w:val="left"/>
      <w:pPr>
        <w:tabs>
          <w:tab w:val="decimal" w:pos="288"/>
        </w:tabs>
        <w:ind w:left="720" w:firstLine="0"/>
      </w:pPr>
      <w:rPr>
        <w:rFonts w:ascii="Arial" w:hAnsi="Arial"/>
        <w:strike w:val="0"/>
        <w:dstrike w:val="0"/>
        <w:color w:val="000000"/>
        <w:spacing w:val="-5"/>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CBB66DA"/>
    <w:multiLevelType w:val="multilevel"/>
    <w:tmpl w:val="11C03880"/>
    <w:lvl w:ilvl="0">
      <w:start w:val="1"/>
      <w:numFmt w:val="decimal"/>
      <w:lvlText w:val="%1."/>
      <w:lvlJc w:val="left"/>
      <w:pPr>
        <w:tabs>
          <w:tab w:val="decimal" w:pos="288"/>
        </w:tabs>
        <w:ind w:left="720" w:firstLine="0"/>
      </w:pPr>
      <w:rPr>
        <w:rFonts w:ascii="Arial" w:hAnsi="Arial"/>
        <w:strike w:val="0"/>
        <w:dstrike w:val="0"/>
        <w:color w:val="000000"/>
        <w:spacing w:val="6"/>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CD01EEA"/>
    <w:multiLevelType w:val="multilevel"/>
    <w:tmpl w:val="4526310E"/>
    <w:lvl w:ilvl="0">
      <w:start w:val="1"/>
      <w:numFmt w:val="lowerLetter"/>
      <w:lvlText w:val="%1."/>
      <w:lvlJc w:val="left"/>
      <w:pPr>
        <w:tabs>
          <w:tab w:val="decimal" w:pos="288"/>
        </w:tabs>
        <w:ind w:left="720" w:firstLine="0"/>
      </w:pPr>
      <w:rPr>
        <w:rFonts w:ascii="Arial" w:hAnsi="Aria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D370210"/>
    <w:multiLevelType w:val="hybridMultilevel"/>
    <w:tmpl w:val="B4886A36"/>
    <w:lvl w:ilvl="0" w:tplc="0AE2E0A4">
      <w:start w:val="1"/>
      <w:numFmt w:val="bullet"/>
      <w:lvlText w:val=""/>
      <w:lvlJc w:val="left"/>
      <w:pPr>
        <w:tabs>
          <w:tab w:val="num" w:pos="720"/>
        </w:tabs>
        <w:ind w:left="720" w:hanging="360"/>
      </w:pPr>
      <w:rPr>
        <w:rFonts w:ascii="Wingdings" w:hAnsi="Wingdings" w:hint="default"/>
      </w:rPr>
    </w:lvl>
    <w:lvl w:ilvl="1" w:tplc="9894DFE0" w:tentative="1">
      <w:start w:val="1"/>
      <w:numFmt w:val="bullet"/>
      <w:lvlText w:val=""/>
      <w:lvlJc w:val="left"/>
      <w:pPr>
        <w:tabs>
          <w:tab w:val="num" w:pos="1440"/>
        </w:tabs>
        <w:ind w:left="1440" w:hanging="360"/>
      </w:pPr>
      <w:rPr>
        <w:rFonts w:ascii="Wingdings" w:hAnsi="Wingdings" w:hint="default"/>
      </w:rPr>
    </w:lvl>
    <w:lvl w:ilvl="2" w:tplc="1D4EB91A" w:tentative="1">
      <w:start w:val="1"/>
      <w:numFmt w:val="bullet"/>
      <w:lvlText w:val=""/>
      <w:lvlJc w:val="left"/>
      <w:pPr>
        <w:tabs>
          <w:tab w:val="num" w:pos="2160"/>
        </w:tabs>
        <w:ind w:left="2160" w:hanging="360"/>
      </w:pPr>
      <w:rPr>
        <w:rFonts w:ascii="Wingdings" w:hAnsi="Wingdings" w:hint="default"/>
      </w:rPr>
    </w:lvl>
    <w:lvl w:ilvl="3" w:tplc="C9AC4CA0" w:tentative="1">
      <w:start w:val="1"/>
      <w:numFmt w:val="bullet"/>
      <w:lvlText w:val=""/>
      <w:lvlJc w:val="left"/>
      <w:pPr>
        <w:tabs>
          <w:tab w:val="num" w:pos="2880"/>
        </w:tabs>
        <w:ind w:left="2880" w:hanging="360"/>
      </w:pPr>
      <w:rPr>
        <w:rFonts w:ascii="Wingdings" w:hAnsi="Wingdings" w:hint="default"/>
      </w:rPr>
    </w:lvl>
    <w:lvl w:ilvl="4" w:tplc="29B2F3E2" w:tentative="1">
      <w:start w:val="1"/>
      <w:numFmt w:val="bullet"/>
      <w:lvlText w:val=""/>
      <w:lvlJc w:val="left"/>
      <w:pPr>
        <w:tabs>
          <w:tab w:val="num" w:pos="3600"/>
        </w:tabs>
        <w:ind w:left="3600" w:hanging="360"/>
      </w:pPr>
      <w:rPr>
        <w:rFonts w:ascii="Wingdings" w:hAnsi="Wingdings" w:hint="default"/>
      </w:rPr>
    </w:lvl>
    <w:lvl w:ilvl="5" w:tplc="DCA64F88" w:tentative="1">
      <w:start w:val="1"/>
      <w:numFmt w:val="bullet"/>
      <w:lvlText w:val=""/>
      <w:lvlJc w:val="left"/>
      <w:pPr>
        <w:tabs>
          <w:tab w:val="num" w:pos="4320"/>
        </w:tabs>
        <w:ind w:left="4320" w:hanging="360"/>
      </w:pPr>
      <w:rPr>
        <w:rFonts w:ascii="Wingdings" w:hAnsi="Wingdings" w:hint="default"/>
      </w:rPr>
    </w:lvl>
    <w:lvl w:ilvl="6" w:tplc="6FDE2D68" w:tentative="1">
      <w:start w:val="1"/>
      <w:numFmt w:val="bullet"/>
      <w:lvlText w:val=""/>
      <w:lvlJc w:val="left"/>
      <w:pPr>
        <w:tabs>
          <w:tab w:val="num" w:pos="5040"/>
        </w:tabs>
        <w:ind w:left="5040" w:hanging="360"/>
      </w:pPr>
      <w:rPr>
        <w:rFonts w:ascii="Wingdings" w:hAnsi="Wingdings" w:hint="default"/>
      </w:rPr>
    </w:lvl>
    <w:lvl w:ilvl="7" w:tplc="5E86B254" w:tentative="1">
      <w:start w:val="1"/>
      <w:numFmt w:val="bullet"/>
      <w:lvlText w:val=""/>
      <w:lvlJc w:val="left"/>
      <w:pPr>
        <w:tabs>
          <w:tab w:val="num" w:pos="5760"/>
        </w:tabs>
        <w:ind w:left="5760" w:hanging="360"/>
      </w:pPr>
      <w:rPr>
        <w:rFonts w:ascii="Wingdings" w:hAnsi="Wingdings" w:hint="default"/>
      </w:rPr>
    </w:lvl>
    <w:lvl w:ilvl="8" w:tplc="E94A564A" w:tentative="1">
      <w:start w:val="1"/>
      <w:numFmt w:val="bullet"/>
      <w:lvlText w:val=""/>
      <w:lvlJc w:val="left"/>
      <w:pPr>
        <w:tabs>
          <w:tab w:val="num" w:pos="6480"/>
        </w:tabs>
        <w:ind w:left="6480" w:hanging="360"/>
      </w:pPr>
      <w:rPr>
        <w:rFonts w:ascii="Wingdings" w:hAnsi="Wingdings" w:hint="default"/>
      </w:rPr>
    </w:lvl>
  </w:abstractNum>
  <w:abstractNum w:abstractNumId="9">
    <w:nsid w:val="37672E72"/>
    <w:multiLevelType w:val="multilevel"/>
    <w:tmpl w:val="31166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E72C79"/>
    <w:multiLevelType w:val="hybridMultilevel"/>
    <w:tmpl w:val="CCB837EE"/>
    <w:lvl w:ilvl="0" w:tplc="2D4C1938">
      <w:start w:val="1"/>
      <w:numFmt w:val="bullet"/>
      <w:lvlText w:val=""/>
      <w:lvlJc w:val="left"/>
      <w:pPr>
        <w:tabs>
          <w:tab w:val="num" w:pos="720"/>
        </w:tabs>
        <w:ind w:left="720" w:hanging="360"/>
      </w:pPr>
      <w:rPr>
        <w:rFonts w:ascii="Wingdings" w:hAnsi="Wingdings" w:hint="default"/>
      </w:rPr>
    </w:lvl>
    <w:lvl w:ilvl="1" w:tplc="C3460FB2" w:tentative="1">
      <w:start w:val="1"/>
      <w:numFmt w:val="bullet"/>
      <w:lvlText w:val=""/>
      <w:lvlJc w:val="left"/>
      <w:pPr>
        <w:tabs>
          <w:tab w:val="num" w:pos="1440"/>
        </w:tabs>
        <w:ind w:left="1440" w:hanging="360"/>
      </w:pPr>
      <w:rPr>
        <w:rFonts w:ascii="Wingdings" w:hAnsi="Wingdings" w:hint="default"/>
      </w:rPr>
    </w:lvl>
    <w:lvl w:ilvl="2" w:tplc="88DE128E" w:tentative="1">
      <w:start w:val="1"/>
      <w:numFmt w:val="bullet"/>
      <w:lvlText w:val=""/>
      <w:lvlJc w:val="left"/>
      <w:pPr>
        <w:tabs>
          <w:tab w:val="num" w:pos="2160"/>
        </w:tabs>
        <w:ind w:left="2160" w:hanging="360"/>
      </w:pPr>
      <w:rPr>
        <w:rFonts w:ascii="Wingdings" w:hAnsi="Wingdings" w:hint="default"/>
      </w:rPr>
    </w:lvl>
    <w:lvl w:ilvl="3" w:tplc="1546766E" w:tentative="1">
      <w:start w:val="1"/>
      <w:numFmt w:val="bullet"/>
      <w:lvlText w:val=""/>
      <w:lvlJc w:val="left"/>
      <w:pPr>
        <w:tabs>
          <w:tab w:val="num" w:pos="2880"/>
        </w:tabs>
        <w:ind w:left="2880" w:hanging="360"/>
      </w:pPr>
      <w:rPr>
        <w:rFonts w:ascii="Wingdings" w:hAnsi="Wingdings" w:hint="default"/>
      </w:rPr>
    </w:lvl>
    <w:lvl w:ilvl="4" w:tplc="B4129638" w:tentative="1">
      <w:start w:val="1"/>
      <w:numFmt w:val="bullet"/>
      <w:lvlText w:val=""/>
      <w:lvlJc w:val="left"/>
      <w:pPr>
        <w:tabs>
          <w:tab w:val="num" w:pos="3600"/>
        </w:tabs>
        <w:ind w:left="3600" w:hanging="360"/>
      </w:pPr>
      <w:rPr>
        <w:rFonts w:ascii="Wingdings" w:hAnsi="Wingdings" w:hint="default"/>
      </w:rPr>
    </w:lvl>
    <w:lvl w:ilvl="5" w:tplc="4FB2DE56" w:tentative="1">
      <w:start w:val="1"/>
      <w:numFmt w:val="bullet"/>
      <w:lvlText w:val=""/>
      <w:lvlJc w:val="left"/>
      <w:pPr>
        <w:tabs>
          <w:tab w:val="num" w:pos="4320"/>
        </w:tabs>
        <w:ind w:left="4320" w:hanging="360"/>
      </w:pPr>
      <w:rPr>
        <w:rFonts w:ascii="Wingdings" w:hAnsi="Wingdings" w:hint="default"/>
      </w:rPr>
    </w:lvl>
    <w:lvl w:ilvl="6" w:tplc="282C680C" w:tentative="1">
      <w:start w:val="1"/>
      <w:numFmt w:val="bullet"/>
      <w:lvlText w:val=""/>
      <w:lvlJc w:val="left"/>
      <w:pPr>
        <w:tabs>
          <w:tab w:val="num" w:pos="5040"/>
        </w:tabs>
        <w:ind w:left="5040" w:hanging="360"/>
      </w:pPr>
      <w:rPr>
        <w:rFonts w:ascii="Wingdings" w:hAnsi="Wingdings" w:hint="default"/>
      </w:rPr>
    </w:lvl>
    <w:lvl w:ilvl="7" w:tplc="24E02964" w:tentative="1">
      <w:start w:val="1"/>
      <w:numFmt w:val="bullet"/>
      <w:lvlText w:val=""/>
      <w:lvlJc w:val="left"/>
      <w:pPr>
        <w:tabs>
          <w:tab w:val="num" w:pos="5760"/>
        </w:tabs>
        <w:ind w:left="5760" w:hanging="360"/>
      </w:pPr>
      <w:rPr>
        <w:rFonts w:ascii="Wingdings" w:hAnsi="Wingdings" w:hint="default"/>
      </w:rPr>
    </w:lvl>
    <w:lvl w:ilvl="8" w:tplc="6750D4FA" w:tentative="1">
      <w:start w:val="1"/>
      <w:numFmt w:val="bullet"/>
      <w:lvlText w:val=""/>
      <w:lvlJc w:val="left"/>
      <w:pPr>
        <w:tabs>
          <w:tab w:val="num" w:pos="6480"/>
        </w:tabs>
        <w:ind w:left="6480" w:hanging="360"/>
      </w:pPr>
      <w:rPr>
        <w:rFonts w:ascii="Wingdings" w:hAnsi="Wingdings" w:hint="default"/>
      </w:rPr>
    </w:lvl>
  </w:abstractNum>
  <w:abstractNum w:abstractNumId="11">
    <w:nsid w:val="3D4E1F48"/>
    <w:multiLevelType w:val="multilevel"/>
    <w:tmpl w:val="640A57BC"/>
    <w:lvl w:ilvl="0">
      <w:start w:val="1"/>
      <w:numFmt w:val="decimal"/>
      <w:lvlText w:val="%1."/>
      <w:lvlJc w:val="left"/>
      <w:pPr>
        <w:tabs>
          <w:tab w:val="decimal" w:pos="288"/>
        </w:tabs>
        <w:ind w:left="720" w:firstLine="0"/>
      </w:pPr>
      <w:rPr>
        <w:rFonts w:ascii="Arial" w:hAnsi="Arial"/>
        <w:strike w:val="0"/>
        <w:dstrike w:val="0"/>
        <w:color w:val="000000"/>
        <w:spacing w:val="1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FDA5695"/>
    <w:multiLevelType w:val="hybridMultilevel"/>
    <w:tmpl w:val="A9E06010"/>
    <w:lvl w:ilvl="0" w:tplc="AD8C69CA">
      <w:start w:val="1"/>
      <w:numFmt w:val="bullet"/>
      <w:lvlText w:val=""/>
      <w:lvlJc w:val="left"/>
      <w:pPr>
        <w:tabs>
          <w:tab w:val="num" w:pos="720"/>
        </w:tabs>
        <w:ind w:left="720" w:hanging="360"/>
      </w:pPr>
      <w:rPr>
        <w:rFonts w:ascii="Wingdings" w:hAnsi="Wingdings" w:hint="default"/>
      </w:rPr>
    </w:lvl>
    <w:lvl w:ilvl="1" w:tplc="06D0B632" w:tentative="1">
      <w:start w:val="1"/>
      <w:numFmt w:val="bullet"/>
      <w:lvlText w:val=""/>
      <w:lvlJc w:val="left"/>
      <w:pPr>
        <w:tabs>
          <w:tab w:val="num" w:pos="1440"/>
        </w:tabs>
        <w:ind w:left="1440" w:hanging="360"/>
      </w:pPr>
      <w:rPr>
        <w:rFonts w:ascii="Wingdings" w:hAnsi="Wingdings" w:hint="default"/>
      </w:rPr>
    </w:lvl>
    <w:lvl w:ilvl="2" w:tplc="47FA933A" w:tentative="1">
      <w:start w:val="1"/>
      <w:numFmt w:val="bullet"/>
      <w:lvlText w:val=""/>
      <w:lvlJc w:val="left"/>
      <w:pPr>
        <w:tabs>
          <w:tab w:val="num" w:pos="2160"/>
        </w:tabs>
        <w:ind w:left="2160" w:hanging="360"/>
      </w:pPr>
      <w:rPr>
        <w:rFonts w:ascii="Wingdings" w:hAnsi="Wingdings" w:hint="default"/>
      </w:rPr>
    </w:lvl>
    <w:lvl w:ilvl="3" w:tplc="9EE2D5C2" w:tentative="1">
      <w:start w:val="1"/>
      <w:numFmt w:val="bullet"/>
      <w:lvlText w:val=""/>
      <w:lvlJc w:val="left"/>
      <w:pPr>
        <w:tabs>
          <w:tab w:val="num" w:pos="2880"/>
        </w:tabs>
        <w:ind w:left="2880" w:hanging="360"/>
      </w:pPr>
      <w:rPr>
        <w:rFonts w:ascii="Wingdings" w:hAnsi="Wingdings" w:hint="default"/>
      </w:rPr>
    </w:lvl>
    <w:lvl w:ilvl="4" w:tplc="29BEAA6A" w:tentative="1">
      <w:start w:val="1"/>
      <w:numFmt w:val="bullet"/>
      <w:lvlText w:val=""/>
      <w:lvlJc w:val="left"/>
      <w:pPr>
        <w:tabs>
          <w:tab w:val="num" w:pos="3600"/>
        </w:tabs>
        <w:ind w:left="3600" w:hanging="360"/>
      </w:pPr>
      <w:rPr>
        <w:rFonts w:ascii="Wingdings" w:hAnsi="Wingdings" w:hint="default"/>
      </w:rPr>
    </w:lvl>
    <w:lvl w:ilvl="5" w:tplc="3D184EB8" w:tentative="1">
      <w:start w:val="1"/>
      <w:numFmt w:val="bullet"/>
      <w:lvlText w:val=""/>
      <w:lvlJc w:val="left"/>
      <w:pPr>
        <w:tabs>
          <w:tab w:val="num" w:pos="4320"/>
        </w:tabs>
        <w:ind w:left="4320" w:hanging="360"/>
      </w:pPr>
      <w:rPr>
        <w:rFonts w:ascii="Wingdings" w:hAnsi="Wingdings" w:hint="default"/>
      </w:rPr>
    </w:lvl>
    <w:lvl w:ilvl="6" w:tplc="3C90B8FC" w:tentative="1">
      <w:start w:val="1"/>
      <w:numFmt w:val="bullet"/>
      <w:lvlText w:val=""/>
      <w:lvlJc w:val="left"/>
      <w:pPr>
        <w:tabs>
          <w:tab w:val="num" w:pos="5040"/>
        </w:tabs>
        <w:ind w:left="5040" w:hanging="360"/>
      </w:pPr>
      <w:rPr>
        <w:rFonts w:ascii="Wingdings" w:hAnsi="Wingdings" w:hint="default"/>
      </w:rPr>
    </w:lvl>
    <w:lvl w:ilvl="7" w:tplc="1B7014A6" w:tentative="1">
      <w:start w:val="1"/>
      <w:numFmt w:val="bullet"/>
      <w:lvlText w:val=""/>
      <w:lvlJc w:val="left"/>
      <w:pPr>
        <w:tabs>
          <w:tab w:val="num" w:pos="5760"/>
        </w:tabs>
        <w:ind w:left="5760" w:hanging="360"/>
      </w:pPr>
      <w:rPr>
        <w:rFonts w:ascii="Wingdings" w:hAnsi="Wingdings" w:hint="default"/>
      </w:rPr>
    </w:lvl>
    <w:lvl w:ilvl="8" w:tplc="63761F9A" w:tentative="1">
      <w:start w:val="1"/>
      <w:numFmt w:val="bullet"/>
      <w:lvlText w:val=""/>
      <w:lvlJc w:val="left"/>
      <w:pPr>
        <w:tabs>
          <w:tab w:val="num" w:pos="6480"/>
        </w:tabs>
        <w:ind w:left="6480" w:hanging="360"/>
      </w:pPr>
      <w:rPr>
        <w:rFonts w:ascii="Wingdings" w:hAnsi="Wingdings" w:hint="default"/>
      </w:rPr>
    </w:lvl>
  </w:abstractNum>
  <w:abstractNum w:abstractNumId="13">
    <w:nsid w:val="48617B70"/>
    <w:multiLevelType w:val="hybridMultilevel"/>
    <w:tmpl w:val="D6647BEE"/>
    <w:lvl w:ilvl="0" w:tplc="CA68ADC4">
      <w:start w:val="1"/>
      <w:numFmt w:val="bullet"/>
      <w:lvlText w:val=""/>
      <w:lvlJc w:val="left"/>
      <w:pPr>
        <w:tabs>
          <w:tab w:val="num" w:pos="720"/>
        </w:tabs>
        <w:ind w:left="720" w:hanging="360"/>
      </w:pPr>
      <w:rPr>
        <w:rFonts w:ascii="Wingdings" w:hAnsi="Wingdings" w:hint="default"/>
      </w:rPr>
    </w:lvl>
    <w:lvl w:ilvl="1" w:tplc="AADA07AC" w:tentative="1">
      <w:start w:val="1"/>
      <w:numFmt w:val="bullet"/>
      <w:lvlText w:val=""/>
      <w:lvlJc w:val="left"/>
      <w:pPr>
        <w:tabs>
          <w:tab w:val="num" w:pos="1440"/>
        </w:tabs>
        <w:ind w:left="1440" w:hanging="360"/>
      </w:pPr>
      <w:rPr>
        <w:rFonts w:ascii="Wingdings" w:hAnsi="Wingdings" w:hint="default"/>
      </w:rPr>
    </w:lvl>
    <w:lvl w:ilvl="2" w:tplc="CBF28E56" w:tentative="1">
      <w:start w:val="1"/>
      <w:numFmt w:val="bullet"/>
      <w:lvlText w:val=""/>
      <w:lvlJc w:val="left"/>
      <w:pPr>
        <w:tabs>
          <w:tab w:val="num" w:pos="2160"/>
        </w:tabs>
        <w:ind w:left="2160" w:hanging="360"/>
      </w:pPr>
      <w:rPr>
        <w:rFonts w:ascii="Wingdings" w:hAnsi="Wingdings" w:hint="default"/>
      </w:rPr>
    </w:lvl>
    <w:lvl w:ilvl="3" w:tplc="FADC81FE" w:tentative="1">
      <w:start w:val="1"/>
      <w:numFmt w:val="bullet"/>
      <w:lvlText w:val=""/>
      <w:lvlJc w:val="left"/>
      <w:pPr>
        <w:tabs>
          <w:tab w:val="num" w:pos="2880"/>
        </w:tabs>
        <w:ind w:left="2880" w:hanging="360"/>
      </w:pPr>
      <w:rPr>
        <w:rFonts w:ascii="Wingdings" w:hAnsi="Wingdings" w:hint="default"/>
      </w:rPr>
    </w:lvl>
    <w:lvl w:ilvl="4" w:tplc="5A7CBDA2" w:tentative="1">
      <w:start w:val="1"/>
      <w:numFmt w:val="bullet"/>
      <w:lvlText w:val=""/>
      <w:lvlJc w:val="left"/>
      <w:pPr>
        <w:tabs>
          <w:tab w:val="num" w:pos="3600"/>
        </w:tabs>
        <w:ind w:left="3600" w:hanging="360"/>
      </w:pPr>
      <w:rPr>
        <w:rFonts w:ascii="Wingdings" w:hAnsi="Wingdings" w:hint="default"/>
      </w:rPr>
    </w:lvl>
    <w:lvl w:ilvl="5" w:tplc="71FEAC82" w:tentative="1">
      <w:start w:val="1"/>
      <w:numFmt w:val="bullet"/>
      <w:lvlText w:val=""/>
      <w:lvlJc w:val="left"/>
      <w:pPr>
        <w:tabs>
          <w:tab w:val="num" w:pos="4320"/>
        </w:tabs>
        <w:ind w:left="4320" w:hanging="360"/>
      </w:pPr>
      <w:rPr>
        <w:rFonts w:ascii="Wingdings" w:hAnsi="Wingdings" w:hint="default"/>
      </w:rPr>
    </w:lvl>
    <w:lvl w:ilvl="6" w:tplc="8CDC5388" w:tentative="1">
      <w:start w:val="1"/>
      <w:numFmt w:val="bullet"/>
      <w:lvlText w:val=""/>
      <w:lvlJc w:val="left"/>
      <w:pPr>
        <w:tabs>
          <w:tab w:val="num" w:pos="5040"/>
        </w:tabs>
        <w:ind w:left="5040" w:hanging="360"/>
      </w:pPr>
      <w:rPr>
        <w:rFonts w:ascii="Wingdings" w:hAnsi="Wingdings" w:hint="default"/>
      </w:rPr>
    </w:lvl>
    <w:lvl w:ilvl="7" w:tplc="0A5812F6" w:tentative="1">
      <w:start w:val="1"/>
      <w:numFmt w:val="bullet"/>
      <w:lvlText w:val=""/>
      <w:lvlJc w:val="left"/>
      <w:pPr>
        <w:tabs>
          <w:tab w:val="num" w:pos="5760"/>
        </w:tabs>
        <w:ind w:left="5760" w:hanging="360"/>
      </w:pPr>
      <w:rPr>
        <w:rFonts w:ascii="Wingdings" w:hAnsi="Wingdings" w:hint="default"/>
      </w:rPr>
    </w:lvl>
    <w:lvl w:ilvl="8" w:tplc="BAB897BA" w:tentative="1">
      <w:start w:val="1"/>
      <w:numFmt w:val="bullet"/>
      <w:lvlText w:val=""/>
      <w:lvlJc w:val="left"/>
      <w:pPr>
        <w:tabs>
          <w:tab w:val="num" w:pos="6480"/>
        </w:tabs>
        <w:ind w:left="6480" w:hanging="360"/>
      </w:pPr>
      <w:rPr>
        <w:rFonts w:ascii="Wingdings" w:hAnsi="Wingdings" w:hint="default"/>
      </w:rPr>
    </w:lvl>
  </w:abstractNum>
  <w:abstractNum w:abstractNumId="14">
    <w:nsid w:val="492D1685"/>
    <w:multiLevelType w:val="hybridMultilevel"/>
    <w:tmpl w:val="40E642A8"/>
    <w:lvl w:ilvl="0" w:tplc="AB9C03E6">
      <w:start w:val="1"/>
      <w:numFmt w:val="bullet"/>
      <w:lvlText w:val=""/>
      <w:lvlJc w:val="left"/>
      <w:pPr>
        <w:tabs>
          <w:tab w:val="num" w:pos="720"/>
        </w:tabs>
        <w:ind w:left="720" w:hanging="360"/>
      </w:pPr>
      <w:rPr>
        <w:rFonts w:ascii="Wingdings" w:hAnsi="Wingdings" w:hint="default"/>
      </w:rPr>
    </w:lvl>
    <w:lvl w:ilvl="1" w:tplc="066E276A" w:tentative="1">
      <w:start w:val="1"/>
      <w:numFmt w:val="bullet"/>
      <w:lvlText w:val=""/>
      <w:lvlJc w:val="left"/>
      <w:pPr>
        <w:tabs>
          <w:tab w:val="num" w:pos="1440"/>
        </w:tabs>
        <w:ind w:left="1440" w:hanging="360"/>
      </w:pPr>
      <w:rPr>
        <w:rFonts w:ascii="Wingdings" w:hAnsi="Wingdings" w:hint="default"/>
      </w:rPr>
    </w:lvl>
    <w:lvl w:ilvl="2" w:tplc="551CAC86" w:tentative="1">
      <w:start w:val="1"/>
      <w:numFmt w:val="bullet"/>
      <w:lvlText w:val=""/>
      <w:lvlJc w:val="left"/>
      <w:pPr>
        <w:tabs>
          <w:tab w:val="num" w:pos="2160"/>
        </w:tabs>
        <w:ind w:left="2160" w:hanging="360"/>
      </w:pPr>
      <w:rPr>
        <w:rFonts w:ascii="Wingdings" w:hAnsi="Wingdings" w:hint="default"/>
      </w:rPr>
    </w:lvl>
    <w:lvl w:ilvl="3" w:tplc="FE1621B0" w:tentative="1">
      <w:start w:val="1"/>
      <w:numFmt w:val="bullet"/>
      <w:lvlText w:val=""/>
      <w:lvlJc w:val="left"/>
      <w:pPr>
        <w:tabs>
          <w:tab w:val="num" w:pos="2880"/>
        </w:tabs>
        <w:ind w:left="2880" w:hanging="360"/>
      </w:pPr>
      <w:rPr>
        <w:rFonts w:ascii="Wingdings" w:hAnsi="Wingdings" w:hint="default"/>
      </w:rPr>
    </w:lvl>
    <w:lvl w:ilvl="4" w:tplc="C504C254" w:tentative="1">
      <w:start w:val="1"/>
      <w:numFmt w:val="bullet"/>
      <w:lvlText w:val=""/>
      <w:lvlJc w:val="left"/>
      <w:pPr>
        <w:tabs>
          <w:tab w:val="num" w:pos="3600"/>
        </w:tabs>
        <w:ind w:left="3600" w:hanging="360"/>
      </w:pPr>
      <w:rPr>
        <w:rFonts w:ascii="Wingdings" w:hAnsi="Wingdings" w:hint="default"/>
      </w:rPr>
    </w:lvl>
    <w:lvl w:ilvl="5" w:tplc="A44EDE14" w:tentative="1">
      <w:start w:val="1"/>
      <w:numFmt w:val="bullet"/>
      <w:lvlText w:val=""/>
      <w:lvlJc w:val="left"/>
      <w:pPr>
        <w:tabs>
          <w:tab w:val="num" w:pos="4320"/>
        </w:tabs>
        <w:ind w:left="4320" w:hanging="360"/>
      </w:pPr>
      <w:rPr>
        <w:rFonts w:ascii="Wingdings" w:hAnsi="Wingdings" w:hint="default"/>
      </w:rPr>
    </w:lvl>
    <w:lvl w:ilvl="6" w:tplc="26F87686" w:tentative="1">
      <w:start w:val="1"/>
      <w:numFmt w:val="bullet"/>
      <w:lvlText w:val=""/>
      <w:lvlJc w:val="left"/>
      <w:pPr>
        <w:tabs>
          <w:tab w:val="num" w:pos="5040"/>
        </w:tabs>
        <w:ind w:left="5040" w:hanging="360"/>
      </w:pPr>
      <w:rPr>
        <w:rFonts w:ascii="Wingdings" w:hAnsi="Wingdings" w:hint="default"/>
      </w:rPr>
    </w:lvl>
    <w:lvl w:ilvl="7" w:tplc="77C062B6" w:tentative="1">
      <w:start w:val="1"/>
      <w:numFmt w:val="bullet"/>
      <w:lvlText w:val=""/>
      <w:lvlJc w:val="left"/>
      <w:pPr>
        <w:tabs>
          <w:tab w:val="num" w:pos="5760"/>
        </w:tabs>
        <w:ind w:left="5760" w:hanging="360"/>
      </w:pPr>
      <w:rPr>
        <w:rFonts w:ascii="Wingdings" w:hAnsi="Wingdings" w:hint="default"/>
      </w:rPr>
    </w:lvl>
    <w:lvl w:ilvl="8" w:tplc="5A889D00" w:tentative="1">
      <w:start w:val="1"/>
      <w:numFmt w:val="bullet"/>
      <w:lvlText w:val=""/>
      <w:lvlJc w:val="left"/>
      <w:pPr>
        <w:tabs>
          <w:tab w:val="num" w:pos="6480"/>
        </w:tabs>
        <w:ind w:left="6480" w:hanging="360"/>
      </w:pPr>
      <w:rPr>
        <w:rFonts w:ascii="Wingdings" w:hAnsi="Wingdings" w:hint="default"/>
      </w:rPr>
    </w:lvl>
  </w:abstractNum>
  <w:abstractNum w:abstractNumId="15">
    <w:nsid w:val="6B6315FE"/>
    <w:multiLevelType w:val="multilevel"/>
    <w:tmpl w:val="B45A7770"/>
    <w:lvl w:ilvl="0">
      <w:start w:val="1"/>
      <w:numFmt w:val="bullet"/>
      <w:lvlText w:val=""/>
      <w:lvlJc w:val="left"/>
      <w:pPr>
        <w:tabs>
          <w:tab w:val="decimal" w:pos="216"/>
        </w:tabs>
        <w:ind w:left="720" w:firstLine="0"/>
      </w:pPr>
      <w:rPr>
        <w:rFonts w:ascii="Symbol" w:hAnsi="Symbol"/>
        <w:b/>
        <w:strike w:val="0"/>
        <w:dstrike w:val="0"/>
        <w:color w:val="000000"/>
        <w:spacing w:val="0"/>
        <w:w w:val="105"/>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E395CB9"/>
    <w:multiLevelType w:val="hybridMultilevel"/>
    <w:tmpl w:val="FC6EA198"/>
    <w:lvl w:ilvl="0" w:tplc="E2CEB1F0">
      <w:start w:val="1"/>
      <w:numFmt w:val="bullet"/>
      <w:lvlText w:val=""/>
      <w:lvlJc w:val="left"/>
      <w:pPr>
        <w:tabs>
          <w:tab w:val="num" w:pos="720"/>
        </w:tabs>
        <w:ind w:left="720" w:hanging="360"/>
      </w:pPr>
      <w:rPr>
        <w:rFonts w:ascii="Wingdings" w:hAnsi="Wingdings" w:hint="default"/>
      </w:rPr>
    </w:lvl>
    <w:lvl w:ilvl="1" w:tplc="B056589A" w:tentative="1">
      <w:start w:val="1"/>
      <w:numFmt w:val="bullet"/>
      <w:lvlText w:val=""/>
      <w:lvlJc w:val="left"/>
      <w:pPr>
        <w:tabs>
          <w:tab w:val="num" w:pos="1440"/>
        </w:tabs>
        <w:ind w:left="1440" w:hanging="360"/>
      </w:pPr>
      <w:rPr>
        <w:rFonts w:ascii="Wingdings" w:hAnsi="Wingdings" w:hint="default"/>
      </w:rPr>
    </w:lvl>
    <w:lvl w:ilvl="2" w:tplc="604A9366" w:tentative="1">
      <w:start w:val="1"/>
      <w:numFmt w:val="bullet"/>
      <w:lvlText w:val=""/>
      <w:lvlJc w:val="left"/>
      <w:pPr>
        <w:tabs>
          <w:tab w:val="num" w:pos="2160"/>
        </w:tabs>
        <w:ind w:left="2160" w:hanging="360"/>
      </w:pPr>
      <w:rPr>
        <w:rFonts w:ascii="Wingdings" w:hAnsi="Wingdings" w:hint="default"/>
      </w:rPr>
    </w:lvl>
    <w:lvl w:ilvl="3" w:tplc="1E3E98C2" w:tentative="1">
      <w:start w:val="1"/>
      <w:numFmt w:val="bullet"/>
      <w:lvlText w:val=""/>
      <w:lvlJc w:val="left"/>
      <w:pPr>
        <w:tabs>
          <w:tab w:val="num" w:pos="2880"/>
        </w:tabs>
        <w:ind w:left="2880" w:hanging="360"/>
      </w:pPr>
      <w:rPr>
        <w:rFonts w:ascii="Wingdings" w:hAnsi="Wingdings" w:hint="default"/>
      </w:rPr>
    </w:lvl>
    <w:lvl w:ilvl="4" w:tplc="D2407288" w:tentative="1">
      <w:start w:val="1"/>
      <w:numFmt w:val="bullet"/>
      <w:lvlText w:val=""/>
      <w:lvlJc w:val="left"/>
      <w:pPr>
        <w:tabs>
          <w:tab w:val="num" w:pos="3600"/>
        </w:tabs>
        <w:ind w:left="3600" w:hanging="360"/>
      </w:pPr>
      <w:rPr>
        <w:rFonts w:ascii="Wingdings" w:hAnsi="Wingdings" w:hint="default"/>
      </w:rPr>
    </w:lvl>
    <w:lvl w:ilvl="5" w:tplc="61E89594" w:tentative="1">
      <w:start w:val="1"/>
      <w:numFmt w:val="bullet"/>
      <w:lvlText w:val=""/>
      <w:lvlJc w:val="left"/>
      <w:pPr>
        <w:tabs>
          <w:tab w:val="num" w:pos="4320"/>
        </w:tabs>
        <w:ind w:left="4320" w:hanging="360"/>
      </w:pPr>
      <w:rPr>
        <w:rFonts w:ascii="Wingdings" w:hAnsi="Wingdings" w:hint="default"/>
      </w:rPr>
    </w:lvl>
    <w:lvl w:ilvl="6" w:tplc="F3269CB8" w:tentative="1">
      <w:start w:val="1"/>
      <w:numFmt w:val="bullet"/>
      <w:lvlText w:val=""/>
      <w:lvlJc w:val="left"/>
      <w:pPr>
        <w:tabs>
          <w:tab w:val="num" w:pos="5040"/>
        </w:tabs>
        <w:ind w:left="5040" w:hanging="360"/>
      </w:pPr>
      <w:rPr>
        <w:rFonts w:ascii="Wingdings" w:hAnsi="Wingdings" w:hint="default"/>
      </w:rPr>
    </w:lvl>
    <w:lvl w:ilvl="7" w:tplc="ADEA75BA" w:tentative="1">
      <w:start w:val="1"/>
      <w:numFmt w:val="bullet"/>
      <w:lvlText w:val=""/>
      <w:lvlJc w:val="left"/>
      <w:pPr>
        <w:tabs>
          <w:tab w:val="num" w:pos="5760"/>
        </w:tabs>
        <w:ind w:left="5760" w:hanging="360"/>
      </w:pPr>
      <w:rPr>
        <w:rFonts w:ascii="Wingdings" w:hAnsi="Wingdings" w:hint="default"/>
      </w:rPr>
    </w:lvl>
    <w:lvl w:ilvl="8" w:tplc="F4F28C0E" w:tentative="1">
      <w:start w:val="1"/>
      <w:numFmt w:val="bullet"/>
      <w:lvlText w:val=""/>
      <w:lvlJc w:val="left"/>
      <w:pPr>
        <w:tabs>
          <w:tab w:val="num" w:pos="6480"/>
        </w:tabs>
        <w:ind w:left="6480" w:hanging="360"/>
      </w:pPr>
      <w:rPr>
        <w:rFonts w:ascii="Wingdings" w:hAnsi="Wingdings" w:hint="default"/>
      </w:rPr>
    </w:lvl>
  </w:abstractNum>
  <w:abstractNum w:abstractNumId="17">
    <w:nsid w:val="7C760DF8"/>
    <w:multiLevelType w:val="hybridMultilevel"/>
    <w:tmpl w:val="1C50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5"/>
    <w:lvlOverride w:ilvl="0"/>
    <w:lvlOverride w:ilvl="1"/>
    <w:lvlOverride w:ilvl="2"/>
    <w:lvlOverride w:ilvl="3"/>
    <w:lvlOverride w:ilvl="4"/>
    <w:lvlOverride w:ilvl="5"/>
    <w:lvlOverride w:ilvl="6"/>
    <w:lvlOverride w:ilvl="7"/>
    <w:lvlOverride w:ilvl="8"/>
  </w:num>
  <w:num w:numId="17">
    <w:abstractNumId w:val="4"/>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9"/>
  </w:num>
  <w:num w:numId="22">
    <w:abstractNumId w:val="14"/>
  </w:num>
  <w:num w:numId="23">
    <w:abstractNumId w:val="3"/>
  </w:num>
  <w:num w:numId="24">
    <w:abstractNumId w:val="16"/>
  </w:num>
  <w:num w:numId="25">
    <w:abstractNumId w:val="12"/>
  </w:num>
  <w:num w:numId="26">
    <w:abstractNumId w:val="1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noPunctuationKerning/>
  <w:characterSpacingControl w:val="doNotCompress"/>
  <w:footnotePr>
    <w:footnote w:id="-1"/>
    <w:footnote w:id="0"/>
  </w:footnotePr>
  <w:endnotePr>
    <w:endnote w:id="-1"/>
    <w:endnote w:id="0"/>
  </w:endnotePr>
  <w:compat/>
  <w:rsids>
    <w:rsidRoot w:val="0031260A"/>
    <w:rsid w:val="00002A03"/>
    <w:rsid w:val="00016480"/>
    <w:rsid w:val="00021BC8"/>
    <w:rsid w:val="00030D50"/>
    <w:rsid w:val="00085421"/>
    <w:rsid w:val="00096CF9"/>
    <w:rsid w:val="000E3FF0"/>
    <w:rsid w:val="000F7BD0"/>
    <w:rsid w:val="0010060C"/>
    <w:rsid w:val="00116C1B"/>
    <w:rsid w:val="001624BB"/>
    <w:rsid w:val="002044A1"/>
    <w:rsid w:val="00232CCB"/>
    <w:rsid w:val="00245E39"/>
    <w:rsid w:val="00274F85"/>
    <w:rsid w:val="00302E7F"/>
    <w:rsid w:val="0031260A"/>
    <w:rsid w:val="00323547"/>
    <w:rsid w:val="00324114"/>
    <w:rsid w:val="003C6DF2"/>
    <w:rsid w:val="003E0528"/>
    <w:rsid w:val="00403640"/>
    <w:rsid w:val="00461B93"/>
    <w:rsid w:val="004F718E"/>
    <w:rsid w:val="00527836"/>
    <w:rsid w:val="00531D5F"/>
    <w:rsid w:val="005379E8"/>
    <w:rsid w:val="005A4211"/>
    <w:rsid w:val="006076E6"/>
    <w:rsid w:val="00665CAD"/>
    <w:rsid w:val="006727A9"/>
    <w:rsid w:val="0067306A"/>
    <w:rsid w:val="006A039A"/>
    <w:rsid w:val="00745462"/>
    <w:rsid w:val="0082240E"/>
    <w:rsid w:val="008B0C04"/>
    <w:rsid w:val="008C0078"/>
    <w:rsid w:val="008E4721"/>
    <w:rsid w:val="00921A3F"/>
    <w:rsid w:val="009459E8"/>
    <w:rsid w:val="00957CB7"/>
    <w:rsid w:val="009E4842"/>
    <w:rsid w:val="00A60B0B"/>
    <w:rsid w:val="00A755DA"/>
    <w:rsid w:val="00A97778"/>
    <w:rsid w:val="00AC40D7"/>
    <w:rsid w:val="00B32F56"/>
    <w:rsid w:val="00B74469"/>
    <w:rsid w:val="00BD1DBC"/>
    <w:rsid w:val="00BD6C01"/>
    <w:rsid w:val="00C23EE8"/>
    <w:rsid w:val="00C33EFD"/>
    <w:rsid w:val="00C545D3"/>
    <w:rsid w:val="00C65323"/>
    <w:rsid w:val="00D00772"/>
    <w:rsid w:val="00D36279"/>
    <w:rsid w:val="00D4254C"/>
    <w:rsid w:val="00D516DF"/>
    <w:rsid w:val="00D67C62"/>
    <w:rsid w:val="00DA5151"/>
    <w:rsid w:val="00E543F4"/>
    <w:rsid w:val="00E54551"/>
    <w:rsid w:val="00E95568"/>
    <w:rsid w:val="00EA4B84"/>
    <w:rsid w:val="00EC6A9E"/>
    <w:rsid w:val="00EE52ED"/>
    <w:rsid w:val="00F13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Web">
    <w:name w:val="Normal (Web)"/>
    <w:basedOn w:val="Normal"/>
    <w:uiPriority w:val="99"/>
    <w:semiHidden/>
    <w:unhideWhenUsed/>
    <w:rsid w:val="00E54551"/>
    <w:pPr>
      <w:spacing w:before="100" w:beforeAutospacing="1" w:after="100" w:afterAutospacing="1"/>
    </w:pPr>
  </w:style>
  <w:style w:type="paragraph" w:styleId="BalloonText">
    <w:name w:val="Balloon Text"/>
    <w:basedOn w:val="Normal"/>
    <w:link w:val="BalloonTextChar"/>
    <w:uiPriority w:val="99"/>
    <w:semiHidden/>
    <w:unhideWhenUsed/>
    <w:rsid w:val="00EC6A9E"/>
    <w:rPr>
      <w:rFonts w:ascii="Tahoma" w:hAnsi="Tahoma" w:cs="Tahoma"/>
      <w:sz w:val="16"/>
      <w:szCs w:val="16"/>
    </w:rPr>
  </w:style>
  <w:style w:type="character" w:customStyle="1" w:styleId="BalloonTextChar">
    <w:name w:val="Balloon Text Char"/>
    <w:basedOn w:val="DefaultParagraphFont"/>
    <w:link w:val="BalloonText"/>
    <w:uiPriority w:val="99"/>
    <w:semiHidden/>
    <w:rsid w:val="00EC6A9E"/>
    <w:rPr>
      <w:rFonts w:ascii="Tahoma" w:hAnsi="Tahoma" w:cs="Tahoma"/>
      <w:sz w:val="16"/>
      <w:szCs w:val="16"/>
    </w:rPr>
  </w:style>
  <w:style w:type="character" w:styleId="Emphasis">
    <w:name w:val="Emphasis"/>
    <w:basedOn w:val="DefaultParagraphFont"/>
    <w:uiPriority w:val="20"/>
    <w:qFormat/>
    <w:rsid w:val="00D00772"/>
    <w:rPr>
      <w:b/>
      <w:bCs/>
      <w:i w:val="0"/>
      <w:iCs w:val="0"/>
    </w:rPr>
  </w:style>
  <w:style w:type="character" w:customStyle="1" w:styleId="st1">
    <w:name w:val="st1"/>
    <w:basedOn w:val="DefaultParagraphFont"/>
    <w:rsid w:val="00D00772"/>
  </w:style>
  <w:style w:type="paragraph" w:styleId="FootnoteText">
    <w:name w:val="footnote text"/>
    <w:basedOn w:val="Normal"/>
    <w:link w:val="FootnoteTextChar"/>
    <w:uiPriority w:val="99"/>
    <w:semiHidden/>
    <w:rsid w:val="00BD1DBC"/>
    <w:rPr>
      <w:sz w:val="20"/>
      <w:szCs w:val="20"/>
    </w:rPr>
  </w:style>
  <w:style w:type="character" w:customStyle="1" w:styleId="FootnoteTextChar">
    <w:name w:val="Footnote Text Char"/>
    <w:basedOn w:val="DefaultParagraphFont"/>
    <w:link w:val="FootnoteText"/>
    <w:uiPriority w:val="99"/>
    <w:semiHidden/>
    <w:rsid w:val="00BD1DBC"/>
  </w:style>
  <w:style w:type="character" w:styleId="FootnoteReference">
    <w:name w:val="footnote reference"/>
    <w:basedOn w:val="DefaultParagraphFont"/>
    <w:uiPriority w:val="99"/>
    <w:semiHidden/>
    <w:rsid w:val="00BD1DBC"/>
    <w:rPr>
      <w:rFonts w:cs="Times New Roman"/>
      <w:vertAlign w:val="superscript"/>
    </w:rPr>
  </w:style>
  <w:style w:type="character" w:styleId="Hyperlink">
    <w:name w:val="Hyperlink"/>
    <w:basedOn w:val="DefaultParagraphFont"/>
    <w:uiPriority w:val="99"/>
    <w:semiHidden/>
    <w:unhideWhenUsed/>
    <w:rsid w:val="001624BB"/>
    <w:rPr>
      <w:color w:val="0000FF"/>
      <w:u w:val="single"/>
    </w:rPr>
  </w:style>
  <w:style w:type="paragraph" w:styleId="ListParagraph">
    <w:name w:val="List Paragraph"/>
    <w:basedOn w:val="Normal"/>
    <w:uiPriority w:val="34"/>
    <w:qFormat/>
    <w:rsid w:val="001624BB"/>
    <w:pPr>
      <w:ind w:left="720"/>
    </w:pPr>
    <w:rPr>
      <w:rFonts w:ascii="Calibri" w:eastAsia="Calibri" w:hAnsi="Calibri"/>
      <w:sz w:val="22"/>
      <w:szCs w:val="22"/>
    </w:rPr>
  </w:style>
  <w:style w:type="character" w:styleId="Strong">
    <w:name w:val="Strong"/>
    <w:basedOn w:val="DefaultParagraphFont"/>
    <w:uiPriority w:val="22"/>
    <w:qFormat/>
    <w:rsid w:val="00EA4B84"/>
    <w:rPr>
      <w:b/>
      <w:bCs/>
    </w:rPr>
  </w:style>
  <w:style w:type="paragraph" w:customStyle="1" w:styleId="Default">
    <w:name w:val="Default"/>
    <w:rsid w:val="008C0078"/>
    <w:pPr>
      <w:autoSpaceDE w:val="0"/>
      <w:autoSpaceDN w:val="0"/>
      <w:adjustRightInd w:val="0"/>
    </w:pPr>
    <w:rPr>
      <w:color w:val="000000"/>
      <w:sz w:val="24"/>
      <w:szCs w:val="24"/>
    </w:rPr>
  </w:style>
  <w:style w:type="paragraph" w:styleId="BodyText">
    <w:name w:val="Body Text"/>
    <w:basedOn w:val="Normal"/>
    <w:link w:val="BodyTextChar"/>
    <w:semiHidden/>
    <w:rsid w:val="00531D5F"/>
    <w:pPr>
      <w:spacing w:after="120"/>
    </w:pPr>
    <w:rPr>
      <w:rFonts w:eastAsia="SimSun"/>
      <w:lang w:val="en-CA"/>
    </w:rPr>
  </w:style>
  <w:style w:type="character" w:customStyle="1" w:styleId="BodyTextChar">
    <w:name w:val="Body Text Char"/>
    <w:basedOn w:val="DefaultParagraphFont"/>
    <w:link w:val="BodyText"/>
    <w:semiHidden/>
    <w:rsid w:val="00531D5F"/>
    <w:rPr>
      <w:rFonts w:eastAsia="SimSun"/>
      <w:sz w:val="24"/>
      <w:szCs w:val="24"/>
      <w:lang w:val="en-CA"/>
    </w:rPr>
  </w:style>
  <w:style w:type="table" w:styleId="TableGrid">
    <w:name w:val="Table Grid"/>
    <w:basedOn w:val="TableNormal"/>
    <w:uiPriority w:val="59"/>
    <w:rsid w:val="00E54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86703">
      <w:bodyDiv w:val="1"/>
      <w:marLeft w:val="0"/>
      <w:marRight w:val="0"/>
      <w:marTop w:val="0"/>
      <w:marBottom w:val="0"/>
      <w:divBdr>
        <w:top w:val="none" w:sz="0" w:space="0" w:color="auto"/>
        <w:left w:val="none" w:sz="0" w:space="0" w:color="auto"/>
        <w:bottom w:val="none" w:sz="0" w:space="0" w:color="auto"/>
        <w:right w:val="none" w:sz="0" w:space="0" w:color="auto"/>
      </w:divBdr>
    </w:div>
    <w:div w:id="82844790">
      <w:bodyDiv w:val="1"/>
      <w:marLeft w:val="0"/>
      <w:marRight w:val="0"/>
      <w:marTop w:val="0"/>
      <w:marBottom w:val="0"/>
      <w:divBdr>
        <w:top w:val="none" w:sz="0" w:space="0" w:color="auto"/>
        <w:left w:val="none" w:sz="0" w:space="0" w:color="auto"/>
        <w:bottom w:val="none" w:sz="0" w:space="0" w:color="auto"/>
        <w:right w:val="none" w:sz="0" w:space="0" w:color="auto"/>
      </w:divBdr>
    </w:div>
    <w:div w:id="148710604">
      <w:bodyDiv w:val="1"/>
      <w:marLeft w:val="0"/>
      <w:marRight w:val="0"/>
      <w:marTop w:val="0"/>
      <w:marBottom w:val="0"/>
      <w:divBdr>
        <w:top w:val="none" w:sz="0" w:space="0" w:color="auto"/>
        <w:left w:val="none" w:sz="0" w:space="0" w:color="auto"/>
        <w:bottom w:val="none" w:sz="0" w:space="0" w:color="auto"/>
        <w:right w:val="none" w:sz="0" w:space="0" w:color="auto"/>
      </w:divBdr>
    </w:div>
    <w:div w:id="156269611">
      <w:bodyDiv w:val="1"/>
      <w:marLeft w:val="0"/>
      <w:marRight w:val="0"/>
      <w:marTop w:val="0"/>
      <w:marBottom w:val="0"/>
      <w:divBdr>
        <w:top w:val="none" w:sz="0" w:space="0" w:color="auto"/>
        <w:left w:val="none" w:sz="0" w:space="0" w:color="auto"/>
        <w:bottom w:val="none" w:sz="0" w:space="0" w:color="auto"/>
        <w:right w:val="none" w:sz="0" w:space="0" w:color="auto"/>
      </w:divBdr>
    </w:div>
    <w:div w:id="368917505">
      <w:bodyDiv w:val="1"/>
      <w:marLeft w:val="0"/>
      <w:marRight w:val="0"/>
      <w:marTop w:val="0"/>
      <w:marBottom w:val="0"/>
      <w:divBdr>
        <w:top w:val="none" w:sz="0" w:space="0" w:color="auto"/>
        <w:left w:val="none" w:sz="0" w:space="0" w:color="auto"/>
        <w:bottom w:val="none" w:sz="0" w:space="0" w:color="auto"/>
        <w:right w:val="none" w:sz="0" w:space="0" w:color="auto"/>
      </w:divBdr>
      <w:divsChild>
        <w:div w:id="1022322304">
          <w:marLeft w:val="547"/>
          <w:marRight w:val="0"/>
          <w:marTop w:val="154"/>
          <w:marBottom w:val="0"/>
          <w:divBdr>
            <w:top w:val="none" w:sz="0" w:space="0" w:color="auto"/>
            <w:left w:val="none" w:sz="0" w:space="0" w:color="auto"/>
            <w:bottom w:val="none" w:sz="0" w:space="0" w:color="auto"/>
            <w:right w:val="none" w:sz="0" w:space="0" w:color="auto"/>
          </w:divBdr>
        </w:div>
        <w:div w:id="1567908521">
          <w:marLeft w:val="547"/>
          <w:marRight w:val="0"/>
          <w:marTop w:val="154"/>
          <w:marBottom w:val="0"/>
          <w:divBdr>
            <w:top w:val="none" w:sz="0" w:space="0" w:color="auto"/>
            <w:left w:val="none" w:sz="0" w:space="0" w:color="auto"/>
            <w:bottom w:val="none" w:sz="0" w:space="0" w:color="auto"/>
            <w:right w:val="none" w:sz="0" w:space="0" w:color="auto"/>
          </w:divBdr>
        </w:div>
        <w:div w:id="2097166645">
          <w:marLeft w:val="547"/>
          <w:marRight w:val="0"/>
          <w:marTop w:val="154"/>
          <w:marBottom w:val="0"/>
          <w:divBdr>
            <w:top w:val="none" w:sz="0" w:space="0" w:color="auto"/>
            <w:left w:val="none" w:sz="0" w:space="0" w:color="auto"/>
            <w:bottom w:val="none" w:sz="0" w:space="0" w:color="auto"/>
            <w:right w:val="none" w:sz="0" w:space="0" w:color="auto"/>
          </w:divBdr>
        </w:div>
      </w:divsChild>
    </w:div>
    <w:div w:id="485899663">
      <w:bodyDiv w:val="1"/>
      <w:marLeft w:val="0"/>
      <w:marRight w:val="0"/>
      <w:marTop w:val="0"/>
      <w:marBottom w:val="0"/>
      <w:divBdr>
        <w:top w:val="none" w:sz="0" w:space="0" w:color="auto"/>
        <w:left w:val="none" w:sz="0" w:space="0" w:color="auto"/>
        <w:bottom w:val="none" w:sz="0" w:space="0" w:color="auto"/>
        <w:right w:val="none" w:sz="0" w:space="0" w:color="auto"/>
      </w:divBdr>
    </w:div>
    <w:div w:id="535437043">
      <w:bodyDiv w:val="1"/>
      <w:marLeft w:val="0"/>
      <w:marRight w:val="0"/>
      <w:marTop w:val="0"/>
      <w:marBottom w:val="0"/>
      <w:divBdr>
        <w:top w:val="none" w:sz="0" w:space="0" w:color="auto"/>
        <w:left w:val="none" w:sz="0" w:space="0" w:color="auto"/>
        <w:bottom w:val="none" w:sz="0" w:space="0" w:color="auto"/>
        <w:right w:val="none" w:sz="0" w:space="0" w:color="auto"/>
      </w:divBdr>
      <w:divsChild>
        <w:div w:id="150029246">
          <w:marLeft w:val="547"/>
          <w:marRight w:val="0"/>
          <w:marTop w:val="115"/>
          <w:marBottom w:val="0"/>
          <w:divBdr>
            <w:top w:val="none" w:sz="0" w:space="0" w:color="auto"/>
            <w:left w:val="none" w:sz="0" w:space="0" w:color="auto"/>
            <w:bottom w:val="none" w:sz="0" w:space="0" w:color="auto"/>
            <w:right w:val="none" w:sz="0" w:space="0" w:color="auto"/>
          </w:divBdr>
        </w:div>
        <w:div w:id="210850931">
          <w:marLeft w:val="547"/>
          <w:marRight w:val="0"/>
          <w:marTop w:val="115"/>
          <w:marBottom w:val="0"/>
          <w:divBdr>
            <w:top w:val="none" w:sz="0" w:space="0" w:color="auto"/>
            <w:left w:val="none" w:sz="0" w:space="0" w:color="auto"/>
            <w:bottom w:val="none" w:sz="0" w:space="0" w:color="auto"/>
            <w:right w:val="none" w:sz="0" w:space="0" w:color="auto"/>
          </w:divBdr>
        </w:div>
        <w:div w:id="1481774476">
          <w:marLeft w:val="547"/>
          <w:marRight w:val="0"/>
          <w:marTop w:val="115"/>
          <w:marBottom w:val="0"/>
          <w:divBdr>
            <w:top w:val="none" w:sz="0" w:space="0" w:color="auto"/>
            <w:left w:val="none" w:sz="0" w:space="0" w:color="auto"/>
            <w:bottom w:val="none" w:sz="0" w:space="0" w:color="auto"/>
            <w:right w:val="none" w:sz="0" w:space="0" w:color="auto"/>
          </w:divBdr>
        </w:div>
        <w:div w:id="1521624824">
          <w:marLeft w:val="547"/>
          <w:marRight w:val="0"/>
          <w:marTop w:val="115"/>
          <w:marBottom w:val="0"/>
          <w:divBdr>
            <w:top w:val="none" w:sz="0" w:space="0" w:color="auto"/>
            <w:left w:val="none" w:sz="0" w:space="0" w:color="auto"/>
            <w:bottom w:val="none" w:sz="0" w:space="0" w:color="auto"/>
            <w:right w:val="none" w:sz="0" w:space="0" w:color="auto"/>
          </w:divBdr>
        </w:div>
        <w:div w:id="2090223798">
          <w:marLeft w:val="547"/>
          <w:marRight w:val="0"/>
          <w:marTop w:val="115"/>
          <w:marBottom w:val="0"/>
          <w:divBdr>
            <w:top w:val="none" w:sz="0" w:space="0" w:color="auto"/>
            <w:left w:val="none" w:sz="0" w:space="0" w:color="auto"/>
            <w:bottom w:val="none" w:sz="0" w:space="0" w:color="auto"/>
            <w:right w:val="none" w:sz="0" w:space="0" w:color="auto"/>
          </w:divBdr>
        </w:div>
      </w:divsChild>
    </w:div>
    <w:div w:id="543909387">
      <w:bodyDiv w:val="1"/>
      <w:marLeft w:val="0"/>
      <w:marRight w:val="0"/>
      <w:marTop w:val="0"/>
      <w:marBottom w:val="0"/>
      <w:divBdr>
        <w:top w:val="none" w:sz="0" w:space="0" w:color="auto"/>
        <w:left w:val="none" w:sz="0" w:space="0" w:color="auto"/>
        <w:bottom w:val="none" w:sz="0" w:space="0" w:color="auto"/>
        <w:right w:val="none" w:sz="0" w:space="0" w:color="auto"/>
      </w:divBdr>
    </w:div>
    <w:div w:id="736249879">
      <w:bodyDiv w:val="1"/>
      <w:marLeft w:val="0"/>
      <w:marRight w:val="0"/>
      <w:marTop w:val="0"/>
      <w:marBottom w:val="0"/>
      <w:divBdr>
        <w:top w:val="none" w:sz="0" w:space="0" w:color="auto"/>
        <w:left w:val="none" w:sz="0" w:space="0" w:color="auto"/>
        <w:bottom w:val="none" w:sz="0" w:space="0" w:color="auto"/>
        <w:right w:val="none" w:sz="0" w:space="0" w:color="auto"/>
      </w:divBdr>
    </w:div>
    <w:div w:id="791172157">
      <w:bodyDiv w:val="1"/>
      <w:marLeft w:val="0"/>
      <w:marRight w:val="0"/>
      <w:marTop w:val="0"/>
      <w:marBottom w:val="0"/>
      <w:divBdr>
        <w:top w:val="none" w:sz="0" w:space="0" w:color="auto"/>
        <w:left w:val="none" w:sz="0" w:space="0" w:color="auto"/>
        <w:bottom w:val="none" w:sz="0" w:space="0" w:color="auto"/>
        <w:right w:val="none" w:sz="0" w:space="0" w:color="auto"/>
      </w:divBdr>
      <w:divsChild>
        <w:div w:id="404694294">
          <w:marLeft w:val="547"/>
          <w:marRight w:val="0"/>
          <w:marTop w:val="115"/>
          <w:marBottom w:val="0"/>
          <w:divBdr>
            <w:top w:val="none" w:sz="0" w:space="0" w:color="auto"/>
            <w:left w:val="none" w:sz="0" w:space="0" w:color="auto"/>
            <w:bottom w:val="none" w:sz="0" w:space="0" w:color="auto"/>
            <w:right w:val="none" w:sz="0" w:space="0" w:color="auto"/>
          </w:divBdr>
        </w:div>
        <w:div w:id="480074632">
          <w:marLeft w:val="547"/>
          <w:marRight w:val="0"/>
          <w:marTop w:val="115"/>
          <w:marBottom w:val="0"/>
          <w:divBdr>
            <w:top w:val="none" w:sz="0" w:space="0" w:color="auto"/>
            <w:left w:val="none" w:sz="0" w:space="0" w:color="auto"/>
            <w:bottom w:val="none" w:sz="0" w:space="0" w:color="auto"/>
            <w:right w:val="none" w:sz="0" w:space="0" w:color="auto"/>
          </w:divBdr>
        </w:div>
        <w:div w:id="1177110377">
          <w:marLeft w:val="547"/>
          <w:marRight w:val="0"/>
          <w:marTop w:val="115"/>
          <w:marBottom w:val="0"/>
          <w:divBdr>
            <w:top w:val="none" w:sz="0" w:space="0" w:color="auto"/>
            <w:left w:val="none" w:sz="0" w:space="0" w:color="auto"/>
            <w:bottom w:val="none" w:sz="0" w:space="0" w:color="auto"/>
            <w:right w:val="none" w:sz="0" w:space="0" w:color="auto"/>
          </w:divBdr>
        </w:div>
        <w:div w:id="1185361384">
          <w:marLeft w:val="547"/>
          <w:marRight w:val="0"/>
          <w:marTop w:val="115"/>
          <w:marBottom w:val="0"/>
          <w:divBdr>
            <w:top w:val="none" w:sz="0" w:space="0" w:color="auto"/>
            <w:left w:val="none" w:sz="0" w:space="0" w:color="auto"/>
            <w:bottom w:val="none" w:sz="0" w:space="0" w:color="auto"/>
            <w:right w:val="none" w:sz="0" w:space="0" w:color="auto"/>
          </w:divBdr>
        </w:div>
      </w:divsChild>
    </w:div>
    <w:div w:id="929922330">
      <w:bodyDiv w:val="1"/>
      <w:marLeft w:val="0"/>
      <w:marRight w:val="0"/>
      <w:marTop w:val="0"/>
      <w:marBottom w:val="0"/>
      <w:divBdr>
        <w:top w:val="none" w:sz="0" w:space="0" w:color="auto"/>
        <w:left w:val="none" w:sz="0" w:space="0" w:color="auto"/>
        <w:bottom w:val="none" w:sz="0" w:space="0" w:color="auto"/>
        <w:right w:val="none" w:sz="0" w:space="0" w:color="auto"/>
      </w:divBdr>
    </w:div>
    <w:div w:id="986133921">
      <w:bodyDiv w:val="1"/>
      <w:marLeft w:val="0"/>
      <w:marRight w:val="0"/>
      <w:marTop w:val="0"/>
      <w:marBottom w:val="0"/>
      <w:divBdr>
        <w:top w:val="none" w:sz="0" w:space="0" w:color="auto"/>
        <w:left w:val="none" w:sz="0" w:space="0" w:color="auto"/>
        <w:bottom w:val="none" w:sz="0" w:space="0" w:color="auto"/>
        <w:right w:val="none" w:sz="0" w:space="0" w:color="auto"/>
      </w:divBdr>
    </w:div>
    <w:div w:id="1021858512">
      <w:bodyDiv w:val="1"/>
      <w:marLeft w:val="0"/>
      <w:marRight w:val="0"/>
      <w:marTop w:val="0"/>
      <w:marBottom w:val="0"/>
      <w:divBdr>
        <w:top w:val="none" w:sz="0" w:space="0" w:color="auto"/>
        <w:left w:val="none" w:sz="0" w:space="0" w:color="auto"/>
        <w:bottom w:val="none" w:sz="0" w:space="0" w:color="auto"/>
        <w:right w:val="none" w:sz="0" w:space="0" w:color="auto"/>
      </w:divBdr>
      <w:divsChild>
        <w:div w:id="100341596">
          <w:marLeft w:val="547"/>
          <w:marRight w:val="0"/>
          <w:marTop w:val="154"/>
          <w:marBottom w:val="0"/>
          <w:divBdr>
            <w:top w:val="none" w:sz="0" w:space="0" w:color="auto"/>
            <w:left w:val="none" w:sz="0" w:space="0" w:color="auto"/>
            <w:bottom w:val="none" w:sz="0" w:space="0" w:color="auto"/>
            <w:right w:val="none" w:sz="0" w:space="0" w:color="auto"/>
          </w:divBdr>
        </w:div>
        <w:div w:id="1529290427">
          <w:marLeft w:val="547"/>
          <w:marRight w:val="0"/>
          <w:marTop w:val="154"/>
          <w:marBottom w:val="0"/>
          <w:divBdr>
            <w:top w:val="none" w:sz="0" w:space="0" w:color="auto"/>
            <w:left w:val="none" w:sz="0" w:space="0" w:color="auto"/>
            <w:bottom w:val="none" w:sz="0" w:space="0" w:color="auto"/>
            <w:right w:val="none" w:sz="0" w:space="0" w:color="auto"/>
          </w:divBdr>
        </w:div>
      </w:divsChild>
    </w:div>
    <w:div w:id="1070038125">
      <w:bodyDiv w:val="1"/>
      <w:marLeft w:val="0"/>
      <w:marRight w:val="0"/>
      <w:marTop w:val="0"/>
      <w:marBottom w:val="0"/>
      <w:divBdr>
        <w:top w:val="none" w:sz="0" w:space="0" w:color="auto"/>
        <w:left w:val="none" w:sz="0" w:space="0" w:color="auto"/>
        <w:bottom w:val="none" w:sz="0" w:space="0" w:color="auto"/>
        <w:right w:val="none" w:sz="0" w:space="0" w:color="auto"/>
      </w:divBdr>
    </w:div>
    <w:div w:id="1302886377">
      <w:bodyDiv w:val="1"/>
      <w:marLeft w:val="0"/>
      <w:marRight w:val="0"/>
      <w:marTop w:val="0"/>
      <w:marBottom w:val="0"/>
      <w:divBdr>
        <w:top w:val="none" w:sz="0" w:space="0" w:color="auto"/>
        <w:left w:val="none" w:sz="0" w:space="0" w:color="auto"/>
        <w:bottom w:val="none" w:sz="0" w:space="0" w:color="auto"/>
        <w:right w:val="none" w:sz="0" w:space="0" w:color="auto"/>
      </w:divBdr>
    </w:div>
    <w:div w:id="1421558364">
      <w:bodyDiv w:val="1"/>
      <w:marLeft w:val="0"/>
      <w:marRight w:val="0"/>
      <w:marTop w:val="0"/>
      <w:marBottom w:val="0"/>
      <w:divBdr>
        <w:top w:val="none" w:sz="0" w:space="0" w:color="auto"/>
        <w:left w:val="none" w:sz="0" w:space="0" w:color="auto"/>
        <w:bottom w:val="none" w:sz="0" w:space="0" w:color="auto"/>
        <w:right w:val="none" w:sz="0" w:space="0" w:color="auto"/>
      </w:divBdr>
      <w:divsChild>
        <w:div w:id="878392256">
          <w:marLeft w:val="547"/>
          <w:marRight w:val="0"/>
          <w:marTop w:val="134"/>
          <w:marBottom w:val="0"/>
          <w:divBdr>
            <w:top w:val="none" w:sz="0" w:space="0" w:color="auto"/>
            <w:left w:val="none" w:sz="0" w:space="0" w:color="auto"/>
            <w:bottom w:val="none" w:sz="0" w:space="0" w:color="auto"/>
            <w:right w:val="none" w:sz="0" w:space="0" w:color="auto"/>
          </w:divBdr>
        </w:div>
        <w:div w:id="916786249">
          <w:marLeft w:val="547"/>
          <w:marRight w:val="0"/>
          <w:marTop w:val="134"/>
          <w:marBottom w:val="0"/>
          <w:divBdr>
            <w:top w:val="none" w:sz="0" w:space="0" w:color="auto"/>
            <w:left w:val="none" w:sz="0" w:space="0" w:color="auto"/>
            <w:bottom w:val="none" w:sz="0" w:space="0" w:color="auto"/>
            <w:right w:val="none" w:sz="0" w:space="0" w:color="auto"/>
          </w:divBdr>
        </w:div>
        <w:div w:id="1487939004">
          <w:marLeft w:val="547"/>
          <w:marRight w:val="0"/>
          <w:marTop w:val="134"/>
          <w:marBottom w:val="0"/>
          <w:divBdr>
            <w:top w:val="none" w:sz="0" w:space="0" w:color="auto"/>
            <w:left w:val="none" w:sz="0" w:space="0" w:color="auto"/>
            <w:bottom w:val="none" w:sz="0" w:space="0" w:color="auto"/>
            <w:right w:val="none" w:sz="0" w:space="0" w:color="auto"/>
          </w:divBdr>
        </w:div>
      </w:divsChild>
    </w:div>
    <w:div w:id="1443920700">
      <w:bodyDiv w:val="1"/>
      <w:marLeft w:val="0"/>
      <w:marRight w:val="0"/>
      <w:marTop w:val="0"/>
      <w:marBottom w:val="0"/>
      <w:divBdr>
        <w:top w:val="none" w:sz="0" w:space="0" w:color="auto"/>
        <w:left w:val="none" w:sz="0" w:space="0" w:color="auto"/>
        <w:bottom w:val="none" w:sz="0" w:space="0" w:color="auto"/>
        <w:right w:val="none" w:sz="0" w:space="0" w:color="auto"/>
      </w:divBdr>
    </w:div>
    <w:div w:id="1459254917">
      <w:bodyDiv w:val="1"/>
      <w:marLeft w:val="0"/>
      <w:marRight w:val="0"/>
      <w:marTop w:val="0"/>
      <w:marBottom w:val="0"/>
      <w:divBdr>
        <w:top w:val="none" w:sz="0" w:space="0" w:color="auto"/>
        <w:left w:val="none" w:sz="0" w:space="0" w:color="auto"/>
        <w:bottom w:val="none" w:sz="0" w:space="0" w:color="auto"/>
        <w:right w:val="none" w:sz="0" w:space="0" w:color="auto"/>
      </w:divBdr>
    </w:div>
    <w:div w:id="1526091899">
      <w:bodyDiv w:val="1"/>
      <w:marLeft w:val="0"/>
      <w:marRight w:val="0"/>
      <w:marTop w:val="0"/>
      <w:marBottom w:val="0"/>
      <w:divBdr>
        <w:top w:val="none" w:sz="0" w:space="0" w:color="auto"/>
        <w:left w:val="none" w:sz="0" w:space="0" w:color="auto"/>
        <w:bottom w:val="none" w:sz="0" w:space="0" w:color="auto"/>
        <w:right w:val="none" w:sz="0" w:space="0" w:color="auto"/>
      </w:divBdr>
    </w:div>
    <w:div w:id="1596859092">
      <w:bodyDiv w:val="1"/>
      <w:marLeft w:val="0"/>
      <w:marRight w:val="0"/>
      <w:marTop w:val="0"/>
      <w:marBottom w:val="0"/>
      <w:divBdr>
        <w:top w:val="none" w:sz="0" w:space="0" w:color="auto"/>
        <w:left w:val="none" w:sz="0" w:space="0" w:color="auto"/>
        <w:bottom w:val="none" w:sz="0" w:space="0" w:color="auto"/>
        <w:right w:val="none" w:sz="0" w:space="0" w:color="auto"/>
      </w:divBdr>
    </w:div>
    <w:div w:id="1729650139">
      <w:bodyDiv w:val="1"/>
      <w:marLeft w:val="0"/>
      <w:marRight w:val="0"/>
      <w:marTop w:val="0"/>
      <w:marBottom w:val="0"/>
      <w:divBdr>
        <w:top w:val="none" w:sz="0" w:space="0" w:color="auto"/>
        <w:left w:val="none" w:sz="0" w:space="0" w:color="auto"/>
        <w:bottom w:val="none" w:sz="0" w:space="0" w:color="auto"/>
        <w:right w:val="none" w:sz="0" w:space="0" w:color="auto"/>
      </w:divBdr>
      <w:divsChild>
        <w:div w:id="136729598">
          <w:marLeft w:val="547"/>
          <w:marRight w:val="0"/>
          <w:marTop w:val="154"/>
          <w:marBottom w:val="0"/>
          <w:divBdr>
            <w:top w:val="none" w:sz="0" w:space="0" w:color="auto"/>
            <w:left w:val="none" w:sz="0" w:space="0" w:color="auto"/>
            <w:bottom w:val="none" w:sz="0" w:space="0" w:color="auto"/>
            <w:right w:val="none" w:sz="0" w:space="0" w:color="auto"/>
          </w:divBdr>
        </w:div>
        <w:div w:id="591552207">
          <w:marLeft w:val="547"/>
          <w:marRight w:val="0"/>
          <w:marTop w:val="154"/>
          <w:marBottom w:val="0"/>
          <w:divBdr>
            <w:top w:val="none" w:sz="0" w:space="0" w:color="auto"/>
            <w:left w:val="none" w:sz="0" w:space="0" w:color="auto"/>
            <w:bottom w:val="none" w:sz="0" w:space="0" w:color="auto"/>
            <w:right w:val="none" w:sz="0" w:space="0" w:color="auto"/>
          </w:divBdr>
        </w:div>
        <w:div w:id="1366175224">
          <w:marLeft w:val="547"/>
          <w:marRight w:val="0"/>
          <w:marTop w:val="154"/>
          <w:marBottom w:val="0"/>
          <w:divBdr>
            <w:top w:val="none" w:sz="0" w:space="0" w:color="auto"/>
            <w:left w:val="none" w:sz="0" w:space="0" w:color="auto"/>
            <w:bottom w:val="none" w:sz="0" w:space="0" w:color="auto"/>
            <w:right w:val="none" w:sz="0" w:space="0" w:color="auto"/>
          </w:divBdr>
        </w:div>
      </w:divsChild>
    </w:div>
    <w:div w:id="1757744920">
      <w:bodyDiv w:val="1"/>
      <w:marLeft w:val="0"/>
      <w:marRight w:val="0"/>
      <w:marTop w:val="0"/>
      <w:marBottom w:val="0"/>
      <w:divBdr>
        <w:top w:val="none" w:sz="0" w:space="0" w:color="auto"/>
        <w:left w:val="none" w:sz="0" w:space="0" w:color="auto"/>
        <w:bottom w:val="none" w:sz="0" w:space="0" w:color="auto"/>
        <w:right w:val="none" w:sz="0" w:space="0" w:color="auto"/>
      </w:divBdr>
      <w:divsChild>
        <w:div w:id="590240007">
          <w:marLeft w:val="547"/>
          <w:marRight w:val="0"/>
          <w:marTop w:val="115"/>
          <w:marBottom w:val="0"/>
          <w:divBdr>
            <w:top w:val="none" w:sz="0" w:space="0" w:color="auto"/>
            <w:left w:val="none" w:sz="0" w:space="0" w:color="auto"/>
            <w:bottom w:val="none" w:sz="0" w:space="0" w:color="auto"/>
            <w:right w:val="none" w:sz="0" w:space="0" w:color="auto"/>
          </w:divBdr>
        </w:div>
        <w:div w:id="785612469">
          <w:marLeft w:val="547"/>
          <w:marRight w:val="0"/>
          <w:marTop w:val="115"/>
          <w:marBottom w:val="0"/>
          <w:divBdr>
            <w:top w:val="none" w:sz="0" w:space="0" w:color="auto"/>
            <w:left w:val="none" w:sz="0" w:space="0" w:color="auto"/>
            <w:bottom w:val="none" w:sz="0" w:space="0" w:color="auto"/>
            <w:right w:val="none" w:sz="0" w:space="0" w:color="auto"/>
          </w:divBdr>
        </w:div>
        <w:div w:id="1614482257">
          <w:marLeft w:val="547"/>
          <w:marRight w:val="0"/>
          <w:marTop w:val="115"/>
          <w:marBottom w:val="0"/>
          <w:divBdr>
            <w:top w:val="none" w:sz="0" w:space="0" w:color="auto"/>
            <w:left w:val="none" w:sz="0" w:space="0" w:color="auto"/>
            <w:bottom w:val="none" w:sz="0" w:space="0" w:color="auto"/>
            <w:right w:val="none" w:sz="0" w:space="0" w:color="auto"/>
          </w:divBdr>
        </w:div>
        <w:div w:id="1831602663">
          <w:marLeft w:val="547"/>
          <w:marRight w:val="0"/>
          <w:marTop w:val="115"/>
          <w:marBottom w:val="0"/>
          <w:divBdr>
            <w:top w:val="none" w:sz="0" w:space="0" w:color="auto"/>
            <w:left w:val="none" w:sz="0" w:space="0" w:color="auto"/>
            <w:bottom w:val="none" w:sz="0" w:space="0" w:color="auto"/>
            <w:right w:val="none" w:sz="0" w:space="0" w:color="auto"/>
          </w:divBdr>
        </w:div>
        <w:div w:id="1969777554">
          <w:marLeft w:val="547"/>
          <w:marRight w:val="0"/>
          <w:marTop w:val="115"/>
          <w:marBottom w:val="0"/>
          <w:divBdr>
            <w:top w:val="none" w:sz="0" w:space="0" w:color="auto"/>
            <w:left w:val="none" w:sz="0" w:space="0" w:color="auto"/>
            <w:bottom w:val="none" w:sz="0" w:space="0" w:color="auto"/>
            <w:right w:val="none" w:sz="0" w:space="0" w:color="auto"/>
          </w:divBdr>
        </w:div>
      </w:divsChild>
    </w:div>
    <w:div w:id="20499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sm.gov/committees/ihsng/aapor2004proceedingsrev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49B1-D25C-44C5-8EE5-FABE81C0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JSM 2007 abstract</vt:lpstr>
    </vt:vector>
  </TitlesOfParts>
  <Company>Bureau of Labor Statistics</Company>
  <LinksUpToDate>false</LinksUpToDate>
  <CharactersWithSpaces>10165</CharactersWithSpaces>
  <SharedDoc>false</SharedDoc>
  <HLinks>
    <vt:vector size="12" baseType="variant">
      <vt:variant>
        <vt:i4>4456476</vt:i4>
      </vt:variant>
      <vt:variant>
        <vt:i4>3</vt:i4>
      </vt:variant>
      <vt:variant>
        <vt:i4>0</vt:i4>
      </vt:variant>
      <vt:variant>
        <vt:i4>5</vt:i4>
      </vt:variant>
      <vt:variant>
        <vt:lpwstr>http://www.census.gov/prod/2006pubs/tp66.pdf)</vt:lpwstr>
      </vt:variant>
      <vt:variant>
        <vt:lpwstr/>
      </vt:variant>
      <vt:variant>
        <vt:i4>1966103</vt:i4>
      </vt:variant>
      <vt:variant>
        <vt:i4>0</vt:i4>
      </vt:variant>
      <vt:variant>
        <vt:i4>0</vt:i4>
      </vt:variant>
      <vt:variant>
        <vt:i4>5</vt:i4>
      </vt:variant>
      <vt:variant>
        <vt:lpwstr>http://www.fcsm.gov/committees/ihsng/aapor2004proceedingsrev2.pdf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JSM 2007 abstract</dc:title>
  <dc:subject/>
  <dc:creator>dixon_j</dc:creator>
  <cp:keywords/>
  <dc:description/>
  <cp:lastModifiedBy>dixon_j</cp:lastModifiedBy>
  <cp:revision>3</cp:revision>
  <cp:lastPrinted>2011-01-11T13:37:00Z</cp:lastPrinted>
  <dcterms:created xsi:type="dcterms:W3CDTF">2012-08-09T15:48:00Z</dcterms:created>
  <dcterms:modified xsi:type="dcterms:W3CDTF">2012-08-09T17:16:00Z</dcterms:modified>
</cp:coreProperties>
</file>