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E1" w:rsidRPr="00572FE4" w:rsidRDefault="00874243" w:rsidP="006527E6">
      <w:pPr>
        <w:pStyle w:val="Heading1"/>
        <w:rPr>
          <w:lang w:val="en-GB"/>
        </w:rPr>
      </w:pPr>
      <w:r w:rsidRPr="00572FE4">
        <w:rPr>
          <w:lang w:val="en-GB"/>
        </w:rPr>
        <w:t xml:space="preserve">International Nonresponse Trends </w:t>
      </w:r>
      <w:r w:rsidR="00572FE4" w:rsidRPr="00572FE4">
        <w:rPr>
          <w:lang w:val="en-GB"/>
        </w:rPr>
        <w:t>across</w:t>
      </w:r>
      <w:r w:rsidRPr="00572FE4">
        <w:rPr>
          <w:lang w:val="en-GB"/>
        </w:rPr>
        <w:t xml:space="preserve"> Countries and Years</w:t>
      </w:r>
      <w:r w:rsidR="006527E6" w:rsidRPr="00572FE4">
        <w:rPr>
          <w:lang w:val="en-GB"/>
        </w:rPr>
        <w:t xml:space="preserve"> </w:t>
      </w:r>
    </w:p>
    <w:p w:rsidR="006527E6" w:rsidRPr="00572FE4" w:rsidRDefault="006527E6" w:rsidP="006527E6">
      <w:pPr>
        <w:rPr>
          <w:lang w:val="en-GB"/>
        </w:rPr>
      </w:pPr>
    </w:p>
    <w:p w:rsidR="00874243" w:rsidRPr="00572FE4" w:rsidRDefault="00874243" w:rsidP="006527E6">
      <w:pPr>
        <w:rPr>
          <w:lang w:val="en-GB"/>
        </w:rPr>
      </w:pPr>
      <w:r w:rsidRPr="00572FE4">
        <w:rPr>
          <w:lang w:val="en-GB"/>
        </w:rPr>
        <w:t>Edith de Leeuw, Department of Methodology &amp; Statistics, Utrecht University</w:t>
      </w:r>
    </w:p>
    <w:p w:rsidR="00874243" w:rsidRPr="00572FE4" w:rsidRDefault="00874243" w:rsidP="006527E6">
      <w:pPr>
        <w:rPr>
          <w:lang w:val="en-GB"/>
        </w:rPr>
      </w:pPr>
      <w:r w:rsidRPr="00572FE4">
        <w:rPr>
          <w:lang w:val="en-GB"/>
        </w:rPr>
        <w:t xml:space="preserve">Joop Hox, Department of Methodology &amp; Statistics, Utrecht University </w:t>
      </w:r>
    </w:p>
    <w:p w:rsidR="006527E6" w:rsidRPr="00572FE4" w:rsidRDefault="00874243" w:rsidP="006527E6">
      <w:pPr>
        <w:rPr>
          <w:lang w:val="en-GB"/>
        </w:rPr>
      </w:pPr>
      <w:r w:rsidRPr="00572FE4">
        <w:rPr>
          <w:lang w:val="en-GB"/>
        </w:rPr>
        <w:t xml:space="preserve">Annemieke Luiten, Statistics Netherlands </w:t>
      </w:r>
    </w:p>
    <w:p w:rsidR="00874243" w:rsidRPr="00572FE4" w:rsidRDefault="00874243" w:rsidP="006527E6">
      <w:pPr>
        <w:rPr>
          <w:lang w:val="en-GB"/>
        </w:rPr>
      </w:pPr>
    </w:p>
    <w:p w:rsidR="006527E6" w:rsidRPr="00572FE4" w:rsidRDefault="006527E6" w:rsidP="006527E6">
      <w:pPr>
        <w:rPr>
          <w:b/>
          <w:lang w:val="en-GB"/>
        </w:rPr>
      </w:pPr>
      <w:r w:rsidRPr="00572FE4">
        <w:rPr>
          <w:b/>
          <w:lang w:val="en-GB"/>
        </w:rPr>
        <w:t>Abstract</w:t>
      </w:r>
    </w:p>
    <w:p w:rsidR="006527E6" w:rsidRPr="00985EC1" w:rsidRDefault="00874243" w:rsidP="00874243">
      <w:pPr>
        <w:rPr>
          <w:rFonts w:cstheme="majorHAnsi"/>
          <w:lang w:val="en-GB"/>
        </w:rPr>
      </w:pPr>
      <w:r w:rsidRPr="00985EC1">
        <w:rPr>
          <w:rFonts w:cstheme="majorHAnsi"/>
          <w:lang w:val="en-GB"/>
        </w:rPr>
        <w:t xml:space="preserve">Household survey nonresponse is a matter of concern in many countries. In one of the first international trend analyses, de Leeuw and de Heer (2002) found that response rates declined over the years, and </w:t>
      </w:r>
      <w:proofErr w:type="gramStart"/>
      <w:r w:rsidRPr="00985EC1">
        <w:rPr>
          <w:rFonts w:cstheme="majorHAnsi"/>
          <w:lang w:val="en-GB"/>
        </w:rPr>
        <w:t>that countries</w:t>
      </w:r>
      <w:proofErr w:type="gramEnd"/>
      <w:r w:rsidRPr="00985EC1">
        <w:rPr>
          <w:rFonts w:cstheme="majorHAnsi"/>
          <w:lang w:val="en-GB"/>
        </w:rPr>
        <w:t xml:space="preserve"> differed in response rates and nonresponse trends. Their analyses cover longitudinal data on the Labour Force Survey from National Statistical Institutes for the period 1980 to 1997. </w:t>
      </w:r>
      <w:r w:rsidR="008B3A05">
        <w:rPr>
          <w:rFonts w:cstheme="majorHAnsi"/>
          <w:lang w:val="en-GB"/>
        </w:rPr>
        <w:t xml:space="preserve"> We added a</w:t>
      </w:r>
      <w:r w:rsidRPr="00985EC1">
        <w:rPr>
          <w:rFonts w:cstheme="majorHAnsi"/>
          <w:lang w:val="en-GB"/>
        </w:rPr>
        <w:t xml:space="preserve"> new data set, covering the period 1998 -2015, </w:t>
      </w:r>
      <w:r w:rsidR="008B3A05">
        <w:rPr>
          <w:rFonts w:cstheme="majorHAnsi"/>
          <w:lang w:val="en-GB"/>
        </w:rPr>
        <w:t>and</w:t>
      </w:r>
      <w:r w:rsidRPr="00985EC1">
        <w:rPr>
          <w:rFonts w:cstheme="majorHAnsi"/>
          <w:lang w:val="en-GB"/>
        </w:rPr>
        <w:t xml:space="preserve"> </w:t>
      </w:r>
      <w:r w:rsidR="007B3629" w:rsidRPr="00985EC1">
        <w:rPr>
          <w:rFonts w:cstheme="majorHAnsi"/>
          <w:lang w:val="en-GB"/>
        </w:rPr>
        <w:t>analysed</w:t>
      </w:r>
      <w:r w:rsidR="008B3A05">
        <w:rPr>
          <w:rFonts w:cstheme="majorHAnsi"/>
          <w:lang w:val="en-GB"/>
        </w:rPr>
        <w:t xml:space="preserve"> nonresponse data over time and countries</w:t>
      </w:r>
      <w:r w:rsidRPr="00985EC1">
        <w:rPr>
          <w:rFonts w:cstheme="majorHAnsi"/>
          <w:lang w:val="en-GB"/>
        </w:rPr>
        <w:t>. In these analyses we differentiated between voluntary and mandatory surveys. The trends visible in de Leeuw and de Heer (2002) continue with possibly a small deceleration in refusal rates.</w:t>
      </w:r>
    </w:p>
    <w:p w:rsidR="006527E6" w:rsidRPr="00572FE4" w:rsidRDefault="006527E6" w:rsidP="006527E6">
      <w:pPr>
        <w:rPr>
          <w:lang w:val="en-GB"/>
        </w:rPr>
      </w:pPr>
    </w:p>
    <w:p w:rsidR="006527E6" w:rsidRPr="00572FE4" w:rsidRDefault="006527E6" w:rsidP="006527E6">
      <w:pPr>
        <w:rPr>
          <w:b/>
          <w:lang w:val="en-GB"/>
        </w:rPr>
      </w:pPr>
      <w:r w:rsidRPr="00572FE4">
        <w:rPr>
          <w:b/>
          <w:lang w:val="en-GB"/>
        </w:rPr>
        <w:t>Keywords</w:t>
      </w:r>
    </w:p>
    <w:p w:rsidR="006527E6" w:rsidRPr="00572FE4" w:rsidRDefault="00572FE4" w:rsidP="006527E6">
      <w:pPr>
        <w:rPr>
          <w:lang w:val="en-GB"/>
        </w:rPr>
      </w:pPr>
      <w:r w:rsidRPr="00572FE4">
        <w:rPr>
          <w:lang w:val="en-GB"/>
        </w:rPr>
        <w:t>Labour Force Survey</w:t>
      </w:r>
      <w:r w:rsidR="007B3629">
        <w:rPr>
          <w:lang w:val="en-GB"/>
        </w:rPr>
        <w:t>, Noncontact, Refusals</w:t>
      </w:r>
    </w:p>
    <w:p w:rsidR="006527E6" w:rsidRPr="00572FE4" w:rsidRDefault="006527E6" w:rsidP="006527E6">
      <w:pPr>
        <w:rPr>
          <w:lang w:val="en-GB"/>
        </w:rPr>
      </w:pPr>
    </w:p>
    <w:p w:rsidR="006527E6" w:rsidRPr="00985EC1" w:rsidRDefault="006527E6" w:rsidP="006527E6">
      <w:pPr>
        <w:rPr>
          <w:rFonts w:asciiTheme="majorHAnsi" w:hAnsiTheme="majorHAnsi" w:cstheme="majorHAnsi"/>
          <w:lang w:val="en-GB"/>
        </w:rPr>
      </w:pPr>
      <w:r w:rsidRPr="00985EC1">
        <w:rPr>
          <w:rFonts w:asciiTheme="majorHAnsi" w:hAnsiTheme="majorHAnsi" w:cstheme="majorHAnsi"/>
          <w:lang w:val="en-GB"/>
        </w:rPr>
        <w:t>Acknowledgements</w:t>
      </w:r>
    </w:p>
    <w:p w:rsidR="00B9130C" w:rsidRPr="00985EC1" w:rsidRDefault="00B9130C" w:rsidP="00B9130C">
      <w:pPr>
        <w:rPr>
          <w:rFonts w:cstheme="majorHAnsi"/>
          <w:lang w:val="en-US"/>
        </w:rPr>
      </w:pPr>
      <w:r w:rsidRPr="00985EC1">
        <w:rPr>
          <w:rFonts w:cstheme="majorHAnsi"/>
          <w:lang w:val="en-US"/>
        </w:rPr>
        <w:t>The authors thank Wim de Heer, who initiated this project, Barry Schouten for his helpful comments on the data collection procedure, the participants of the International Workshop on Household Survey Nonresponse 2016 &amp; 2017 for their extremely useful feedback, and all researchers who so very generously gave their time to complete our nonresponse questionnaire.</w:t>
      </w:r>
    </w:p>
    <w:p w:rsidR="00B9130C" w:rsidRDefault="00B9130C" w:rsidP="00B9130C">
      <w:pPr>
        <w:rPr>
          <w:rFonts w:asciiTheme="majorHAnsi" w:hAnsiTheme="majorHAnsi" w:cstheme="majorHAnsi"/>
          <w:lang w:val="en-US"/>
        </w:rPr>
      </w:pPr>
    </w:p>
    <w:p w:rsidR="00B9130C" w:rsidRPr="00985EC1" w:rsidRDefault="00B9130C" w:rsidP="00B9130C">
      <w:pPr>
        <w:rPr>
          <w:rFonts w:asciiTheme="majorHAnsi" w:hAnsiTheme="majorHAnsi" w:cstheme="majorHAnsi"/>
          <w:lang w:val="en-US"/>
        </w:rPr>
      </w:pPr>
      <w:r w:rsidRPr="00985EC1">
        <w:rPr>
          <w:rFonts w:asciiTheme="majorHAnsi" w:hAnsiTheme="majorHAnsi" w:cstheme="majorHAnsi"/>
          <w:lang w:val="en-US"/>
        </w:rPr>
        <w:t>Disclaimer</w:t>
      </w:r>
    </w:p>
    <w:p w:rsidR="00B9130C" w:rsidRPr="00B9130C" w:rsidRDefault="00B9130C" w:rsidP="00B9130C">
      <w:pPr>
        <w:rPr>
          <w:rFonts w:cstheme="minorHAnsi"/>
          <w:lang w:val="en-US"/>
        </w:rPr>
      </w:pPr>
      <w:r w:rsidRPr="00B9130C">
        <w:rPr>
          <w:rFonts w:cstheme="minorHAnsi"/>
          <w:lang w:val="en-US"/>
        </w:rPr>
        <w:t>The views expressed are those of the authors and do not necessarily reflect the policies of Statistics Netherlands</w:t>
      </w:r>
      <w:r w:rsidR="00E512BB">
        <w:rPr>
          <w:rFonts w:cstheme="minorHAnsi"/>
          <w:lang w:val="en-US"/>
        </w:rPr>
        <w:t>.</w:t>
      </w:r>
    </w:p>
    <w:p w:rsidR="00B9130C" w:rsidRPr="00B9130C" w:rsidRDefault="00B9130C" w:rsidP="00B9130C">
      <w:pPr>
        <w:rPr>
          <w:rFonts w:asciiTheme="majorHAnsi" w:hAnsiTheme="majorHAnsi" w:cstheme="majorHAnsi"/>
          <w:lang w:val="en-US"/>
        </w:rPr>
      </w:pPr>
    </w:p>
    <w:p w:rsidR="006527E6" w:rsidRPr="00572FE4" w:rsidRDefault="006527E6" w:rsidP="006527E6">
      <w:pPr>
        <w:rPr>
          <w:lang w:val="en-GB"/>
        </w:rPr>
      </w:pPr>
    </w:p>
    <w:p w:rsidR="006527E6" w:rsidRPr="00572FE4" w:rsidRDefault="006527E6" w:rsidP="00C01066">
      <w:pPr>
        <w:pStyle w:val="Heading2"/>
        <w:numPr>
          <w:ilvl w:val="0"/>
          <w:numId w:val="2"/>
        </w:numPr>
        <w:rPr>
          <w:lang w:val="en-GB"/>
        </w:rPr>
      </w:pPr>
      <w:r w:rsidRPr="00572FE4">
        <w:rPr>
          <w:lang w:val="en-GB"/>
        </w:rPr>
        <w:t>Introduction</w:t>
      </w:r>
    </w:p>
    <w:p w:rsidR="00985EC1" w:rsidRDefault="00985EC1" w:rsidP="006527E6">
      <w:pPr>
        <w:rPr>
          <w:lang w:val="en-GB"/>
        </w:rPr>
      </w:pPr>
    </w:p>
    <w:p w:rsidR="006527E6" w:rsidRDefault="00673248" w:rsidP="006527E6">
      <w:pPr>
        <w:rPr>
          <w:lang w:val="en-US"/>
        </w:rPr>
      </w:pPr>
      <w:r>
        <w:rPr>
          <w:lang w:val="en-GB"/>
        </w:rPr>
        <w:t xml:space="preserve">Survey practitioners have been noticing an increasing nonresponse trend for years. Already in 1992, </w:t>
      </w:r>
      <w:proofErr w:type="spellStart"/>
      <w:r>
        <w:rPr>
          <w:lang w:val="en-GB"/>
        </w:rPr>
        <w:t>Bradburn</w:t>
      </w:r>
      <w:proofErr w:type="spellEnd"/>
      <w:r>
        <w:rPr>
          <w:lang w:val="en-GB"/>
        </w:rPr>
        <w:t xml:space="preserve"> stated </w:t>
      </w:r>
      <w:r w:rsidRPr="00673248">
        <w:rPr>
          <w:lang w:val="en-US"/>
        </w:rPr>
        <w:t xml:space="preserve">“We all </w:t>
      </w:r>
      <w:r w:rsidRPr="00673248">
        <w:rPr>
          <w:i/>
          <w:lang w:val="en-US"/>
        </w:rPr>
        <w:t>believe</w:t>
      </w:r>
      <w:r w:rsidRPr="00673248">
        <w:rPr>
          <w:lang w:val="en-US"/>
        </w:rPr>
        <w:t xml:space="preserve"> strongly that response rates are declining and have been declining for some time. Part of the problem is locating respondents, and part of the problem is getting respondents.”</w:t>
      </w:r>
      <w:r>
        <w:rPr>
          <w:lang w:val="en-US"/>
        </w:rPr>
        <w:t xml:space="preserve"> This sentiment was also expressed by </w:t>
      </w:r>
      <w:r w:rsidR="001D5298">
        <w:rPr>
          <w:lang w:val="en-US"/>
        </w:rPr>
        <w:t xml:space="preserve">both </w:t>
      </w:r>
      <w:proofErr w:type="spellStart"/>
      <w:r w:rsidRPr="00673248">
        <w:rPr>
          <w:lang w:val="en-US"/>
        </w:rPr>
        <w:t>Brehm</w:t>
      </w:r>
      <w:proofErr w:type="spellEnd"/>
      <w:r w:rsidRPr="00673248">
        <w:rPr>
          <w:lang w:val="en-US"/>
        </w:rPr>
        <w:t xml:space="preserve"> (1993:16-17) and Groves (1989:182) </w:t>
      </w:r>
      <w:r w:rsidR="00052B67">
        <w:rPr>
          <w:lang w:val="en-US"/>
        </w:rPr>
        <w:t xml:space="preserve">who </w:t>
      </w:r>
      <w:r w:rsidRPr="00673248">
        <w:rPr>
          <w:lang w:val="en-US"/>
        </w:rPr>
        <w:t xml:space="preserve">stated that nonresponse rates are getting worse and that participation in the </w:t>
      </w:r>
      <w:r w:rsidRPr="001D5298">
        <w:rPr>
          <w:i/>
          <w:lang w:val="en-US"/>
        </w:rPr>
        <w:t xml:space="preserve">USA </w:t>
      </w:r>
      <w:r w:rsidRPr="00673248">
        <w:rPr>
          <w:lang w:val="en-US"/>
        </w:rPr>
        <w:t xml:space="preserve">is declining for government, academic, and commercial surveys.  </w:t>
      </w:r>
      <w:r>
        <w:rPr>
          <w:lang w:val="en-US"/>
        </w:rPr>
        <w:t xml:space="preserve"> </w:t>
      </w:r>
    </w:p>
    <w:p w:rsidR="001D5298" w:rsidRDefault="001D5298" w:rsidP="006527E6">
      <w:pPr>
        <w:rPr>
          <w:lang w:val="en-US"/>
        </w:rPr>
      </w:pPr>
      <w:r>
        <w:rPr>
          <w:lang w:val="en-US"/>
        </w:rPr>
        <w:t xml:space="preserve">For the USA, some empirical basis for these statements is provided by </w:t>
      </w:r>
      <w:proofErr w:type="spellStart"/>
      <w:r>
        <w:rPr>
          <w:lang w:val="en-US"/>
        </w:rPr>
        <w:t>Steeh</w:t>
      </w:r>
      <w:proofErr w:type="spellEnd"/>
      <w:r>
        <w:rPr>
          <w:lang w:val="en-US"/>
        </w:rPr>
        <w:t xml:space="preserve"> (1981), who found </w:t>
      </w:r>
      <w:r w:rsidRPr="001D5298">
        <w:rPr>
          <w:lang w:val="en-US"/>
        </w:rPr>
        <w:t xml:space="preserve">that refusals in two well-known academic studies (the National Election Studies and the Consumer Attitudes Survey) increased between 1952 and 1979; </w:t>
      </w:r>
      <w:proofErr w:type="spellStart"/>
      <w:r w:rsidRPr="001D5298">
        <w:rPr>
          <w:lang w:val="en-US"/>
        </w:rPr>
        <w:t>Steeh</w:t>
      </w:r>
      <w:proofErr w:type="spellEnd"/>
      <w:r w:rsidRPr="001D5298">
        <w:rPr>
          <w:lang w:val="en-US"/>
        </w:rPr>
        <w:t xml:space="preserve"> did not study noncontacts separately. Curtin, Presser, and Singer (2005) performed a follow-up for the US Survey of Consumer Attitudes covering the period 1979 to 2003. They </w:t>
      </w:r>
      <w:r w:rsidRPr="001D5298">
        <w:rPr>
          <w:lang w:val="en-US"/>
        </w:rPr>
        <w:lastRenderedPageBreak/>
        <w:t xml:space="preserve">showed that the overall response rates were decreasing over time, that part of it was caused by an increase in noncontacts, especially after 1985, and that part was due to an increase in refusals. </w:t>
      </w:r>
      <w:proofErr w:type="spellStart"/>
      <w:r w:rsidRPr="001D5298">
        <w:rPr>
          <w:lang w:val="en-US"/>
        </w:rPr>
        <w:t>Atrostic</w:t>
      </w:r>
      <w:proofErr w:type="spellEnd"/>
      <w:r w:rsidRPr="001D5298">
        <w:rPr>
          <w:lang w:val="en-US"/>
        </w:rPr>
        <w:t>, Bates, Burt, and Silberstein (2001), developed a set of consistent nonresponse measures for six major US governmental household surveys. They concluded that nonresponse increased for all six surveys in the period 1990 to 1999. F</w:t>
      </w:r>
      <w:r w:rsidR="009956D7">
        <w:rPr>
          <w:lang w:val="en-US"/>
        </w:rPr>
        <w:t>inally, Williams and Brick (2018</w:t>
      </w:r>
      <w:r w:rsidRPr="001D5298">
        <w:rPr>
          <w:lang w:val="en-US"/>
        </w:rPr>
        <w:t xml:space="preserve">) updated nonresponse trends for household surveys conducted in the US since 2000. They conclude that overall response rates decreased in the period 2000-2014. Both noncontacts and refusals increased, though the magnitude of increase differs between studies.  </w:t>
      </w:r>
    </w:p>
    <w:p w:rsidR="00ED029C" w:rsidRPr="00572FE4" w:rsidRDefault="00ED029C" w:rsidP="006527E6">
      <w:pPr>
        <w:rPr>
          <w:lang w:val="en-GB"/>
        </w:rPr>
      </w:pPr>
    </w:p>
    <w:p w:rsidR="00ED029C" w:rsidRPr="00ED029C" w:rsidRDefault="00ED029C" w:rsidP="00ED029C">
      <w:pPr>
        <w:rPr>
          <w:rFonts w:cstheme="minorHAnsi"/>
          <w:lang w:val="en-US"/>
        </w:rPr>
      </w:pPr>
      <w:r w:rsidRPr="00ED029C">
        <w:rPr>
          <w:rFonts w:cstheme="minorHAnsi"/>
          <w:lang w:val="en-US"/>
        </w:rPr>
        <w:t>E</w:t>
      </w:r>
      <w:r>
        <w:rPr>
          <w:rFonts w:cstheme="minorHAnsi"/>
          <w:lang w:val="en-US"/>
        </w:rPr>
        <w:t>uropean and i</w:t>
      </w:r>
      <w:r w:rsidRPr="00ED029C">
        <w:rPr>
          <w:rFonts w:cstheme="minorHAnsi"/>
          <w:lang w:val="en-US"/>
        </w:rPr>
        <w:t xml:space="preserve">nternational trend data are scarcer, Stoop, </w:t>
      </w:r>
      <w:proofErr w:type="spellStart"/>
      <w:r w:rsidRPr="00ED029C">
        <w:rPr>
          <w:rFonts w:cstheme="minorHAnsi"/>
          <w:lang w:val="en-US"/>
        </w:rPr>
        <w:t>Billiet</w:t>
      </w:r>
      <w:proofErr w:type="spellEnd"/>
      <w:r w:rsidRPr="00ED029C">
        <w:rPr>
          <w:rFonts w:cstheme="minorHAnsi"/>
          <w:lang w:val="en-US"/>
        </w:rPr>
        <w:t>, Koch, and Fitzgerald (2010, chapter 5) present data from the first three rounds of the European Social Survey (ESS). They notice a slight increase in response rates from an average of 60% in the first round ESS1 in 2002 to 61.6% in ESS2 and 62.8% in ESS3. This change is accompanied by a decrease in the variation of response rates across countries; countries with a low response rate improved over time</w:t>
      </w:r>
      <w:r>
        <w:rPr>
          <w:rFonts w:cstheme="minorHAnsi"/>
          <w:lang w:val="en-US"/>
        </w:rPr>
        <w:t xml:space="preserve">, and </w:t>
      </w:r>
      <w:r w:rsidR="00C11093">
        <w:rPr>
          <w:rFonts w:cstheme="minorHAnsi"/>
          <w:lang w:val="en-US"/>
        </w:rPr>
        <w:t xml:space="preserve">this </w:t>
      </w:r>
      <w:r>
        <w:rPr>
          <w:rFonts w:cstheme="minorHAnsi"/>
          <w:lang w:val="en-US"/>
        </w:rPr>
        <w:t>may be attributed to increased fieldwork efforts</w:t>
      </w:r>
      <w:r w:rsidRPr="00ED029C">
        <w:rPr>
          <w:rFonts w:cstheme="minorHAnsi"/>
          <w:lang w:val="en-US"/>
        </w:rPr>
        <w:t>. However, this hopeful outcome did not persist after seven rounds of the ESS. Over a period of 12 years (</w:t>
      </w:r>
      <w:r>
        <w:rPr>
          <w:rFonts w:cstheme="minorHAnsi"/>
          <w:lang w:val="en-US"/>
        </w:rPr>
        <w:t>2002-2014) the ESS collected seven rounds of data in 36 countries. A careful analysis (</w:t>
      </w:r>
      <w:proofErr w:type="spellStart"/>
      <w:r>
        <w:rPr>
          <w:rFonts w:cstheme="minorHAnsi"/>
          <w:lang w:val="en-US"/>
        </w:rPr>
        <w:t>Beullens</w:t>
      </w:r>
      <w:proofErr w:type="spellEnd"/>
      <w:r>
        <w:rPr>
          <w:rFonts w:cstheme="minorHAnsi"/>
          <w:lang w:val="en-US"/>
        </w:rPr>
        <w:t xml:space="preserve">, </w:t>
      </w:r>
      <w:proofErr w:type="spellStart"/>
      <w:r>
        <w:rPr>
          <w:rFonts w:cstheme="minorHAnsi"/>
          <w:lang w:val="en-US"/>
        </w:rPr>
        <w:t>Loosveldt</w:t>
      </w:r>
      <w:proofErr w:type="spellEnd"/>
      <w:r>
        <w:rPr>
          <w:rFonts w:cstheme="minorHAnsi"/>
          <w:lang w:val="en-US"/>
        </w:rPr>
        <w:t xml:space="preserve">, </w:t>
      </w:r>
      <w:proofErr w:type="spellStart"/>
      <w:r>
        <w:rPr>
          <w:rFonts w:cstheme="minorHAnsi"/>
          <w:lang w:val="en-US"/>
        </w:rPr>
        <w:t>Vandenplas</w:t>
      </w:r>
      <w:proofErr w:type="spellEnd"/>
      <w:r>
        <w:rPr>
          <w:rFonts w:cstheme="minorHAnsi"/>
          <w:lang w:val="en-US"/>
        </w:rPr>
        <w:t>, and Stoop, 2018)</w:t>
      </w:r>
      <w:r w:rsidR="00545085">
        <w:rPr>
          <w:rFonts w:cstheme="minorHAnsi"/>
          <w:lang w:val="en-US"/>
        </w:rPr>
        <w:t xml:space="preserve"> showed</w:t>
      </w:r>
      <w:r>
        <w:rPr>
          <w:rFonts w:cstheme="minorHAnsi"/>
          <w:lang w:val="en-US"/>
        </w:rPr>
        <w:t xml:space="preserve"> </w:t>
      </w:r>
      <w:r w:rsidRPr="00ED029C">
        <w:rPr>
          <w:rFonts w:cstheme="minorHAnsi"/>
          <w:lang w:val="en-US"/>
        </w:rPr>
        <w:t xml:space="preserve">a tendency for response rates to decrease over time. </w:t>
      </w:r>
      <w:r w:rsidR="001B7AD6">
        <w:rPr>
          <w:rFonts w:cstheme="minorHAnsi"/>
          <w:lang w:val="en-US"/>
        </w:rPr>
        <w:t>The differences found over time are in line with the effect sizes reported by de Leeuw and de Heer (2002) for official statistics</w:t>
      </w:r>
      <w:r w:rsidR="00C4765F">
        <w:rPr>
          <w:rFonts w:cstheme="minorHAnsi"/>
          <w:lang w:val="en-US"/>
        </w:rPr>
        <w:t>.</w:t>
      </w:r>
      <w:r w:rsidRPr="00ED029C">
        <w:rPr>
          <w:rFonts w:cstheme="minorHAnsi"/>
          <w:lang w:val="en-US"/>
        </w:rPr>
        <w:t xml:space="preserve"> </w:t>
      </w:r>
      <w:proofErr w:type="spellStart"/>
      <w:r w:rsidR="00B21E12">
        <w:rPr>
          <w:rFonts w:cstheme="minorHAnsi"/>
          <w:lang w:val="en-US"/>
        </w:rPr>
        <w:t>Beullens</w:t>
      </w:r>
      <w:proofErr w:type="spellEnd"/>
      <w:r w:rsidR="00B21E12">
        <w:rPr>
          <w:rFonts w:cstheme="minorHAnsi"/>
          <w:lang w:val="en-US"/>
        </w:rPr>
        <w:t xml:space="preserve"> et al (2018)</w:t>
      </w:r>
      <w:r w:rsidR="00C11093">
        <w:rPr>
          <w:rFonts w:cstheme="minorHAnsi"/>
          <w:lang w:val="en-US"/>
        </w:rPr>
        <w:t xml:space="preserve"> also </w:t>
      </w:r>
      <w:r w:rsidR="00604923">
        <w:rPr>
          <w:rFonts w:cstheme="minorHAnsi"/>
          <w:lang w:val="en-US"/>
        </w:rPr>
        <w:t>demonstrated</w:t>
      </w:r>
      <w:r w:rsidR="00C11093">
        <w:rPr>
          <w:rFonts w:cstheme="minorHAnsi"/>
          <w:lang w:val="en-US"/>
        </w:rPr>
        <w:t xml:space="preserve"> that </w:t>
      </w:r>
      <w:r w:rsidR="00604923">
        <w:rPr>
          <w:rFonts w:cstheme="minorHAnsi"/>
          <w:lang w:val="en-US"/>
        </w:rPr>
        <w:t xml:space="preserve">although </w:t>
      </w:r>
      <w:r w:rsidR="00C11093">
        <w:rPr>
          <w:rFonts w:cstheme="minorHAnsi"/>
          <w:lang w:val="en-US"/>
        </w:rPr>
        <w:t>noncontact rates appeared to decrease, probably due to increased fieldwork effo</w:t>
      </w:r>
      <w:r w:rsidR="00604923">
        <w:rPr>
          <w:rFonts w:cstheme="minorHAnsi"/>
          <w:lang w:val="en-US"/>
        </w:rPr>
        <w:t xml:space="preserve">rts, refusal rates did increase and </w:t>
      </w:r>
      <w:r w:rsidR="00236C0A">
        <w:rPr>
          <w:rFonts w:cstheme="minorHAnsi"/>
          <w:lang w:val="en-US"/>
        </w:rPr>
        <w:t xml:space="preserve">that </w:t>
      </w:r>
      <w:r w:rsidR="00604923">
        <w:rPr>
          <w:rFonts w:cstheme="minorHAnsi"/>
          <w:lang w:val="en-US"/>
        </w:rPr>
        <w:t>obtaining cooperation has become increasingly difficult.</w:t>
      </w:r>
    </w:p>
    <w:p w:rsidR="00ED029C" w:rsidRPr="00ED029C" w:rsidRDefault="00ED029C" w:rsidP="00ED029C">
      <w:pPr>
        <w:rPr>
          <w:rFonts w:cstheme="minorHAnsi"/>
          <w:lang w:val="en-US"/>
        </w:rPr>
      </w:pPr>
    </w:p>
    <w:p w:rsidR="00B21E12" w:rsidRDefault="00ED029C" w:rsidP="00ED029C">
      <w:pPr>
        <w:rPr>
          <w:rFonts w:cstheme="minorHAnsi"/>
          <w:lang w:val="en-US"/>
        </w:rPr>
      </w:pPr>
      <w:r w:rsidRPr="00ED029C">
        <w:rPr>
          <w:rFonts w:cstheme="minorHAnsi"/>
          <w:lang w:val="en-US"/>
        </w:rPr>
        <w:t xml:space="preserve">Within the framework of the International Workshop on Household Survey Nonresponse, de Heer (1999) initiated an international nonresponse questionnaire that was sent yearly to contacts at governmental survey agencies in different countries. The resulting trend </w:t>
      </w:r>
      <w:r w:rsidR="007F3E6B">
        <w:rPr>
          <w:rFonts w:cstheme="minorHAnsi"/>
          <w:lang w:val="en-US"/>
        </w:rPr>
        <w:t>data were analyzed by de Leeuw and</w:t>
      </w:r>
      <w:r w:rsidRPr="00ED029C">
        <w:rPr>
          <w:rFonts w:cstheme="minorHAnsi"/>
          <w:lang w:val="en-US"/>
        </w:rPr>
        <w:t xml:space="preserve"> de Heer (2002). They covered the period 1980-1997 and found that response rates have indeed been declining over the years. </w:t>
      </w:r>
      <w:r w:rsidR="00C4765F">
        <w:rPr>
          <w:rFonts w:cstheme="minorHAnsi"/>
          <w:lang w:val="en-US"/>
        </w:rPr>
        <w:t>Both noncontact rates and refusal rates increased over time. Furthermore countries differ in the acceleration of refusal rate</w:t>
      </w:r>
      <w:r w:rsidR="00B61ADD">
        <w:rPr>
          <w:rFonts w:cstheme="minorHAnsi"/>
          <w:lang w:val="en-US"/>
        </w:rPr>
        <w:t xml:space="preserve">, while noncontact rates decreased to the same extent across countries. </w:t>
      </w:r>
    </w:p>
    <w:p w:rsidR="00B21E12" w:rsidRDefault="00B21E12" w:rsidP="00ED029C">
      <w:pPr>
        <w:rPr>
          <w:rFonts w:cstheme="minorHAnsi"/>
          <w:lang w:val="en-US"/>
        </w:rPr>
      </w:pPr>
    </w:p>
    <w:p w:rsidR="00ED029C" w:rsidRPr="00ED029C" w:rsidRDefault="00B21E12" w:rsidP="00ED029C">
      <w:pPr>
        <w:rPr>
          <w:rFonts w:cstheme="minorHAnsi"/>
          <w:lang w:val="en-US"/>
        </w:rPr>
      </w:pPr>
      <w:r>
        <w:rPr>
          <w:rFonts w:cstheme="minorHAnsi"/>
          <w:lang w:val="en-US"/>
        </w:rPr>
        <w:t>Does the nonresponse</w:t>
      </w:r>
      <w:r w:rsidR="00ED029C" w:rsidRPr="00ED029C">
        <w:rPr>
          <w:rFonts w:cstheme="minorHAnsi"/>
          <w:lang w:val="en-US"/>
        </w:rPr>
        <w:t xml:space="preserve"> trend </w:t>
      </w:r>
      <w:r>
        <w:rPr>
          <w:rFonts w:cstheme="minorHAnsi"/>
          <w:lang w:val="en-US"/>
        </w:rPr>
        <w:t xml:space="preserve">as reported by de Leeuw &amp; de Heer (2002) </w:t>
      </w:r>
      <w:r w:rsidR="00ED029C" w:rsidRPr="00ED029C">
        <w:rPr>
          <w:rFonts w:cstheme="minorHAnsi"/>
          <w:lang w:val="en-US"/>
        </w:rPr>
        <w:t xml:space="preserve">continue in the new millennium? </w:t>
      </w:r>
      <w:r>
        <w:rPr>
          <w:rFonts w:cstheme="minorHAnsi"/>
          <w:lang w:val="en-US"/>
        </w:rPr>
        <w:t xml:space="preserve">Furthermore, do nonresponse trends in official statistics follow the same trend as those in social statistics as reported by </w:t>
      </w:r>
      <w:proofErr w:type="spellStart"/>
      <w:r>
        <w:rPr>
          <w:rFonts w:cstheme="minorHAnsi"/>
          <w:lang w:val="en-US"/>
        </w:rPr>
        <w:t>Beulens</w:t>
      </w:r>
      <w:proofErr w:type="spellEnd"/>
      <w:r>
        <w:rPr>
          <w:rFonts w:cstheme="minorHAnsi"/>
          <w:lang w:val="en-US"/>
        </w:rPr>
        <w:t xml:space="preserve"> et al (2018), with a clear trend in growing refusal rate, but not in noncontacts? </w:t>
      </w:r>
      <w:r w:rsidR="00ED029C" w:rsidRPr="00ED029C">
        <w:rPr>
          <w:rFonts w:cstheme="minorHAnsi"/>
          <w:lang w:val="en-US"/>
        </w:rPr>
        <w:t xml:space="preserve">To answer this question, we have added new data to de </w:t>
      </w:r>
      <w:proofErr w:type="spellStart"/>
      <w:r w:rsidR="00ED029C" w:rsidRPr="00ED029C">
        <w:rPr>
          <w:rFonts w:cstheme="minorHAnsi"/>
          <w:lang w:val="en-US"/>
        </w:rPr>
        <w:t>Heer’s</w:t>
      </w:r>
      <w:proofErr w:type="spellEnd"/>
      <w:r w:rsidR="00ED029C" w:rsidRPr="00ED029C">
        <w:rPr>
          <w:rFonts w:cstheme="minorHAnsi"/>
          <w:lang w:val="en-US"/>
        </w:rPr>
        <w:t xml:space="preserve"> original data set, extending the time period to 2015. The results of the analysis of this combined data set are described here. </w:t>
      </w:r>
    </w:p>
    <w:p w:rsidR="006527E6" w:rsidRPr="00572FE4" w:rsidRDefault="006527E6" w:rsidP="00C01066">
      <w:pPr>
        <w:pStyle w:val="Heading2"/>
        <w:numPr>
          <w:ilvl w:val="0"/>
          <w:numId w:val="2"/>
        </w:numPr>
        <w:rPr>
          <w:lang w:val="en-GB"/>
        </w:rPr>
      </w:pPr>
      <w:r w:rsidRPr="00572FE4">
        <w:rPr>
          <w:lang w:val="en-GB"/>
        </w:rPr>
        <w:t>Data and methods</w:t>
      </w:r>
    </w:p>
    <w:p w:rsidR="006527E6" w:rsidRDefault="00615FD6" w:rsidP="00C01066">
      <w:pPr>
        <w:pStyle w:val="Heading3"/>
        <w:numPr>
          <w:ilvl w:val="1"/>
          <w:numId w:val="2"/>
        </w:numPr>
        <w:rPr>
          <w:lang w:val="en-GB"/>
        </w:rPr>
      </w:pPr>
      <w:r w:rsidRPr="00572FE4">
        <w:rPr>
          <w:lang w:val="en-GB"/>
        </w:rPr>
        <w:t>Data</w:t>
      </w:r>
    </w:p>
    <w:p w:rsidR="00B21E12" w:rsidRPr="00B21E12" w:rsidRDefault="00B21E12" w:rsidP="00B21E12">
      <w:pPr>
        <w:rPr>
          <w:lang w:val="en-GB"/>
        </w:rPr>
      </w:pPr>
    </w:p>
    <w:p w:rsidR="00B21E12" w:rsidRPr="00B21E12" w:rsidRDefault="00B21E12" w:rsidP="00B21E12">
      <w:pPr>
        <w:rPr>
          <w:rFonts w:cstheme="minorHAnsi"/>
          <w:lang w:val="en-US"/>
        </w:rPr>
      </w:pPr>
      <w:r w:rsidRPr="00B21E12">
        <w:rPr>
          <w:rFonts w:cstheme="minorHAnsi"/>
          <w:lang w:val="en-US"/>
        </w:rPr>
        <w:t>Two data sets were available for analysis. The first data set was collected by Wim de Heer in the international survey on nonresponse and covers the period 1980-1997 (de Leeuw and de Heer 2002). The second data set was collected by Annemieke Luiten and covers the period 1998-2015 (Luiten, de Leeuw, Schouten, and Hox 2016).</w:t>
      </w:r>
    </w:p>
    <w:p w:rsidR="00B21E12" w:rsidRDefault="00B21E12" w:rsidP="00B21E12">
      <w:pPr>
        <w:rPr>
          <w:rFonts w:cstheme="minorHAnsi"/>
          <w:lang w:val="en-US"/>
        </w:rPr>
      </w:pPr>
    </w:p>
    <w:p w:rsidR="00985EC1" w:rsidRPr="00DF6302" w:rsidRDefault="00B21E12" w:rsidP="00B21E12">
      <w:pPr>
        <w:rPr>
          <w:rFonts w:asciiTheme="majorHAnsi" w:hAnsiTheme="majorHAnsi" w:cstheme="majorHAnsi"/>
          <w:b/>
          <w:lang w:val="en-GB"/>
        </w:rPr>
      </w:pPr>
      <w:r w:rsidRPr="00DF6302">
        <w:rPr>
          <w:rFonts w:asciiTheme="majorHAnsi" w:hAnsiTheme="majorHAnsi" w:cstheme="majorHAnsi"/>
          <w:b/>
          <w:lang w:val="en-GB"/>
        </w:rPr>
        <w:lastRenderedPageBreak/>
        <w:t>De Heer Data</w:t>
      </w:r>
    </w:p>
    <w:p w:rsidR="00B21E12" w:rsidRDefault="00B21E12" w:rsidP="00B21E12">
      <w:pPr>
        <w:rPr>
          <w:rFonts w:cstheme="minorHAnsi"/>
          <w:lang w:val="en-US"/>
        </w:rPr>
      </w:pPr>
      <w:r w:rsidRPr="00B21E12">
        <w:rPr>
          <w:rFonts w:cstheme="minorHAnsi"/>
          <w:lang w:val="en-US"/>
        </w:rPr>
        <w:t>During the first meeting of the International Workshop on Household Survey Nonresponse in Stockholm 1990, an international questionnaire with questions on response, survey design, and fieldwork was developed and sent to key informants at governmental statistical agencies. To be able to investigate response trends, data on continuing surveys or  surveys repeated over time (e.g., Labour Force Survey) were requested and agencies were asked to provide as much retrospective data as possible (for details, see de Heer, 1999). This was repeated over time and the last data collection took place in 1997. In 1999, all collected response data were sent to the international contacts with the request to carefully check the data.  This resulted in a data set with trend data for the Labour Force Survey in 16 countries: Australia, Belgium, Canada, Denmark, Finland, France, Germany, Hungary, Italy, the Netherlands, Poland, Slovenia, Spain, Sweden, United Kingdom, and the United States (for details, see de Leeuw and de Heer 2002, Appendix).</w:t>
      </w:r>
    </w:p>
    <w:p w:rsidR="00985EC1" w:rsidRPr="00B21E12" w:rsidRDefault="00985EC1" w:rsidP="00B21E12">
      <w:pPr>
        <w:rPr>
          <w:rFonts w:cstheme="minorHAnsi"/>
          <w:lang w:val="en-US"/>
        </w:rPr>
      </w:pPr>
    </w:p>
    <w:p w:rsidR="00B21E12" w:rsidRPr="00DF6302" w:rsidRDefault="00B21E12" w:rsidP="00B21E12">
      <w:pPr>
        <w:rPr>
          <w:rFonts w:asciiTheme="majorHAnsi" w:hAnsiTheme="majorHAnsi" w:cstheme="majorHAnsi"/>
          <w:b/>
          <w:lang w:val="en-US"/>
        </w:rPr>
      </w:pPr>
      <w:r w:rsidRPr="00DF6302">
        <w:rPr>
          <w:rFonts w:asciiTheme="majorHAnsi" w:hAnsiTheme="majorHAnsi" w:cstheme="majorHAnsi"/>
          <w:b/>
          <w:lang w:val="en-US"/>
        </w:rPr>
        <w:t>L</w:t>
      </w:r>
      <w:r w:rsidR="00985EC1" w:rsidRPr="00DF6302">
        <w:rPr>
          <w:rFonts w:asciiTheme="majorHAnsi" w:hAnsiTheme="majorHAnsi" w:cstheme="majorHAnsi"/>
          <w:b/>
          <w:lang w:val="en-US"/>
        </w:rPr>
        <w:t>uiten Data</w:t>
      </w:r>
    </w:p>
    <w:p w:rsidR="00B21E12" w:rsidRPr="00B21E12" w:rsidRDefault="00B21E12" w:rsidP="00B21E12">
      <w:pPr>
        <w:rPr>
          <w:rFonts w:cstheme="minorHAnsi"/>
          <w:lang w:val="en-US"/>
        </w:rPr>
      </w:pPr>
      <w:r w:rsidRPr="00B21E12">
        <w:rPr>
          <w:rFonts w:cstheme="minorHAnsi"/>
          <w:lang w:val="en-US"/>
        </w:rPr>
        <w:t xml:space="preserve"> In 2015, new trend data were collected on the Labour Force Survey (LFS). The new questionnaire was based on de </w:t>
      </w:r>
      <w:proofErr w:type="spellStart"/>
      <w:r w:rsidRPr="00B21E12">
        <w:rPr>
          <w:rFonts w:cstheme="minorHAnsi"/>
          <w:lang w:val="en-US"/>
        </w:rPr>
        <w:t>Heer’s</w:t>
      </w:r>
      <w:proofErr w:type="spellEnd"/>
      <w:r w:rsidRPr="00B21E12">
        <w:rPr>
          <w:rFonts w:cstheme="minorHAnsi"/>
          <w:lang w:val="en-US"/>
        </w:rPr>
        <w:t xml:space="preserve"> original questionnaire, with added questions on mixed mode-designs and fieldwork effort. </w:t>
      </w:r>
      <w:r w:rsidRPr="00335B97">
        <w:rPr>
          <w:rFonts w:cstheme="minorHAnsi"/>
          <w:lang w:val="en-GB"/>
        </w:rPr>
        <w:t xml:space="preserve">A retrospective inventory was used: respondents were asked to report on response, refusal and contact rates from 1998 to 2015. </w:t>
      </w:r>
      <w:r w:rsidRPr="00B21E12">
        <w:rPr>
          <w:rFonts w:cstheme="minorHAnsi"/>
          <w:lang w:val="en-US"/>
        </w:rPr>
        <w:t>Data were collected in 2016. The questionnaire was sent out to all European Labour Survey data collection agencies, as well as non-European countries (e.g., Australia, New Zealand, Canada, and the USA). In total, 25 countries participated</w:t>
      </w:r>
      <w:r w:rsidR="00E512BB">
        <w:rPr>
          <w:rFonts w:cstheme="minorHAnsi"/>
          <w:lang w:val="en-US"/>
        </w:rPr>
        <w:t>. F</w:t>
      </w:r>
      <w:r w:rsidRPr="00B21E12">
        <w:rPr>
          <w:rFonts w:cstheme="minorHAnsi"/>
          <w:lang w:val="en-US"/>
        </w:rPr>
        <w:t xml:space="preserve">rom the original de </w:t>
      </w:r>
      <w:proofErr w:type="spellStart"/>
      <w:r w:rsidRPr="00B21E12">
        <w:rPr>
          <w:rFonts w:cstheme="minorHAnsi"/>
          <w:lang w:val="en-US"/>
        </w:rPr>
        <w:t>Leeuw</w:t>
      </w:r>
      <w:proofErr w:type="spellEnd"/>
      <w:r w:rsidRPr="00B21E12">
        <w:rPr>
          <w:rFonts w:cstheme="minorHAnsi"/>
          <w:lang w:val="en-US"/>
        </w:rPr>
        <w:t xml:space="preserve"> and de </w:t>
      </w:r>
      <w:proofErr w:type="spellStart"/>
      <w:r w:rsidRPr="00B21E12">
        <w:rPr>
          <w:rFonts w:cstheme="minorHAnsi"/>
          <w:lang w:val="en-US"/>
        </w:rPr>
        <w:t>Heer</w:t>
      </w:r>
      <w:proofErr w:type="spellEnd"/>
      <w:r w:rsidRPr="00B21E12">
        <w:rPr>
          <w:rFonts w:cstheme="minorHAnsi"/>
          <w:lang w:val="en-US"/>
        </w:rPr>
        <w:t xml:space="preserve"> (2002) data set</w:t>
      </w:r>
      <w:r w:rsidR="00E512BB">
        <w:rPr>
          <w:rFonts w:cstheme="minorHAnsi"/>
          <w:lang w:val="en-US"/>
        </w:rPr>
        <w:t xml:space="preserve">, </w:t>
      </w:r>
      <w:r w:rsidRPr="00B21E12">
        <w:rPr>
          <w:rFonts w:cstheme="minorHAnsi"/>
          <w:lang w:val="en-US"/>
        </w:rPr>
        <w:t>Denmark and Belgium did not participate</w:t>
      </w:r>
      <w:r w:rsidR="00052B67">
        <w:rPr>
          <w:rFonts w:cstheme="minorHAnsi"/>
          <w:lang w:val="en-US"/>
        </w:rPr>
        <w:t xml:space="preserve"> in the second data collection</w:t>
      </w:r>
      <w:r w:rsidR="00E512BB">
        <w:rPr>
          <w:rFonts w:cstheme="minorHAnsi"/>
          <w:lang w:val="en-US"/>
        </w:rPr>
        <w:t>;</w:t>
      </w:r>
      <w:r w:rsidRPr="00B21E12">
        <w:rPr>
          <w:rFonts w:cstheme="minorHAnsi"/>
          <w:lang w:val="en-US"/>
        </w:rPr>
        <w:t xml:space="preserve"> new countries that provided data were Austria, Bulgaria, Croatia, Iceland, Latvia, Lithuania, Malta, Norway, Portugal, Slovakia, and Switzerland.</w:t>
      </w:r>
    </w:p>
    <w:p w:rsidR="00985EC1" w:rsidRDefault="00985EC1" w:rsidP="00B21E12">
      <w:pPr>
        <w:rPr>
          <w:rFonts w:cstheme="minorHAnsi"/>
          <w:lang w:val="en-US"/>
        </w:rPr>
      </w:pPr>
    </w:p>
    <w:p w:rsidR="00B21E12" w:rsidRPr="00DF6302" w:rsidRDefault="00B21E12" w:rsidP="00B21E12">
      <w:pPr>
        <w:rPr>
          <w:rFonts w:asciiTheme="majorHAnsi" w:hAnsiTheme="majorHAnsi" w:cstheme="majorHAnsi"/>
          <w:b/>
          <w:lang w:val="en-US"/>
        </w:rPr>
      </w:pPr>
      <w:r w:rsidRPr="00DF6302">
        <w:rPr>
          <w:rFonts w:asciiTheme="majorHAnsi" w:hAnsiTheme="majorHAnsi" w:cstheme="majorHAnsi"/>
          <w:b/>
          <w:lang w:val="en-US"/>
        </w:rPr>
        <w:t>C</w:t>
      </w:r>
      <w:r w:rsidR="00985EC1" w:rsidRPr="00DF6302">
        <w:rPr>
          <w:rFonts w:asciiTheme="majorHAnsi" w:hAnsiTheme="majorHAnsi" w:cstheme="majorHAnsi"/>
          <w:b/>
          <w:lang w:val="en-US"/>
        </w:rPr>
        <w:t>ombined Data</w:t>
      </w:r>
    </w:p>
    <w:p w:rsidR="002701BF" w:rsidRDefault="00B21E12" w:rsidP="00B21E12">
      <w:pPr>
        <w:rPr>
          <w:rFonts w:cstheme="minorHAnsi"/>
          <w:lang w:val="en-US"/>
        </w:rPr>
      </w:pPr>
      <w:r w:rsidRPr="00B21E12">
        <w:rPr>
          <w:rFonts w:cstheme="minorHAnsi"/>
          <w:lang w:val="en-US"/>
        </w:rPr>
        <w:t>The de Heer and Luiten data were combined into a single data set containing 27 countries (see Appendix). The de Heer data set still made a distinction between former East and West Germany</w:t>
      </w:r>
      <w:r w:rsidR="00985EC1">
        <w:rPr>
          <w:rFonts w:cstheme="minorHAnsi"/>
          <w:lang w:val="en-US"/>
        </w:rPr>
        <w:t>; the more recent Luiten data set contained data for the unified Germany only. I</w:t>
      </w:r>
      <w:r w:rsidRPr="00B21E12">
        <w:rPr>
          <w:rFonts w:cstheme="minorHAnsi"/>
          <w:lang w:val="en-US"/>
        </w:rPr>
        <w:t>n the combined dataset the</w:t>
      </w:r>
      <w:r w:rsidR="00985EC1">
        <w:rPr>
          <w:rFonts w:cstheme="minorHAnsi"/>
          <w:lang w:val="en-US"/>
        </w:rPr>
        <w:t xml:space="preserve"> data from the former East and West Germany</w:t>
      </w:r>
      <w:r w:rsidRPr="00B21E12">
        <w:rPr>
          <w:rFonts w:cstheme="minorHAnsi"/>
          <w:lang w:val="en-US"/>
        </w:rPr>
        <w:t xml:space="preserve"> were averaged into one country ‘Germany’ by calculating the mean of the two response rates for each year</w:t>
      </w:r>
      <w:r w:rsidR="00985EC1">
        <w:rPr>
          <w:rFonts w:cstheme="minorHAnsi"/>
          <w:lang w:val="en-US"/>
        </w:rPr>
        <w:t>, thereby harmonizing the data for Germany.</w:t>
      </w:r>
      <w:r w:rsidRPr="00B21E12">
        <w:rPr>
          <w:rFonts w:cstheme="minorHAnsi"/>
          <w:lang w:val="en-US"/>
        </w:rPr>
        <w:t xml:space="preserve"> Three countries had two sets of data for 1998, one from the de </w:t>
      </w:r>
      <w:r w:rsidR="008D0199">
        <w:rPr>
          <w:rFonts w:cstheme="minorHAnsi"/>
          <w:lang w:val="en-US"/>
        </w:rPr>
        <w:t xml:space="preserve">original </w:t>
      </w:r>
      <w:r w:rsidRPr="00B21E12">
        <w:rPr>
          <w:rFonts w:cstheme="minorHAnsi"/>
          <w:lang w:val="en-US"/>
        </w:rPr>
        <w:t xml:space="preserve">Heer data and one from the </w:t>
      </w:r>
      <w:r w:rsidR="008D0199">
        <w:rPr>
          <w:rFonts w:cstheme="minorHAnsi"/>
          <w:lang w:val="en-US"/>
        </w:rPr>
        <w:t xml:space="preserve">new </w:t>
      </w:r>
      <w:r w:rsidRPr="00B21E12">
        <w:rPr>
          <w:rFonts w:cstheme="minorHAnsi"/>
          <w:lang w:val="en-US"/>
        </w:rPr>
        <w:t xml:space="preserve">Luiten data (Slovenia, Sweden and the UK). </w:t>
      </w:r>
      <w:r w:rsidR="002701BF">
        <w:rPr>
          <w:rFonts w:cstheme="minorHAnsi"/>
          <w:lang w:val="en-US"/>
        </w:rPr>
        <w:t>The differences were very small -</w:t>
      </w:r>
      <w:r w:rsidRPr="00B21E12">
        <w:rPr>
          <w:rFonts w:cstheme="minorHAnsi"/>
          <w:lang w:val="en-US"/>
        </w:rPr>
        <w:t xml:space="preserve"> all smaller than 0.5 percent points</w:t>
      </w:r>
      <w:r w:rsidR="00E512BB">
        <w:rPr>
          <w:rFonts w:cstheme="minorHAnsi"/>
          <w:lang w:val="en-US"/>
        </w:rPr>
        <w:t>- and</w:t>
      </w:r>
      <w:r w:rsidR="002701BF">
        <w:rPr>
          <w:rFonts w:cstheme="minorHAnsi"/>
          <w:lang w:val="en-US"/>
        </w:rPr>
        <w:t xml:space="preserve"> the</w:t>
      </w:r>
      <w:r w:rsidRPr="00B21E12">
        <w:rPr>
          <w:rFonts w:cstheme="minorHAnsi"/>
          <w:lang w:val="en-US"/>
        </w:rPr>
        <w:t xml:space="preserve"> 1998 data for these three countries were replaced by their average. </w:t>
      </w:r>
    </w:p>
    <w:p w:rsidR="00B21E12" w:rsidRPr="00B21E12" w:rsidRDefault="00B21E12" w:rsidP="00B21E12">
      <w:pPr>
        <w:rPr>
          <w:rFonts w:cstheme="minorHAnsi"/>
          <w:lang w:val="en-US"/>
        </w:rPr>
      </w:pPr>
      <w:r w:rsidRPr="00B21E12">
        <w:rPr>
          <w:rFonts w:cstheme="minorHAnsi"/>
          <w:lang w:val="en-US"/>
        </w:rPr>
        <w:t>We computed proportions and empirical logits for response, noncontacts, and refusals. We coded the time variable year as actual year minus 1998, which makes the time coding consistent with the coding used in de Leeuw and de Heer (2002).</w:t>
      </w:r>
    </w:p>
    <w:p w:rsidR="00615FD6" w:rsidRPr="00572FE4" w:rsidRDefault="00615FD6" w:rsidP="00615FD6">
      <w:pPr>
        <w:rPr>
          <w:lang w:val="en-GB"/>
        </w:rPr>
      </w:pPr>
    </w:p>
    <w:p w:rsidR="00615FD6" w:rsidRPr="00572FE4" w:rsidRDefault="00615FD6" w:rsidP="00C01066">
      <w:pPr>
        <w:pStyle w:val="Heading3"/>
        <w:numPr>
          <w:ilvl w:val="1"/>
          <w:numId w:val="2"/>
        </w:numPr>
        <w:rPr>
          <w:lang w:val="en-GB"/>
        </w:rPr>
      </w:pPr>
      <w:r w:rsidRPr="00572FE4">
        <w:rPr>
          <w:lang w:val="en-GB"/>
        </w:rPr>
        <w:t>Methods</w:t>
      </w:r>
    </w:p>
    <w:p w:rsidR="006527E6" w:rsidRPr="00572FE4" w:rsidRDefault="006527E6" w:rsidP="006527E6">
      <w:pPr>
        <w:rPr>
          <w:lang w:val="en-GB"/>
        </w:rPr>
      </w:pPr>
    </w:p>
    <w:p w:rsidR="007537F5" w:rsidRPr="007537F5" w:rsidRDefault="007537F5" w:rsidP="007537F5">
      <w:pPr>
        <w:rPr>
          <w:rFonts w:cstheme="minorHAnsi"/>
          <w:lang w:val="en-US"/>
        </w:rPr>
      </w:pPr>
      <w:r w:rsidRPr="007537F5">
        <w:rPr>
          <w:rFonts w:cstheme="minorHAnsi"/>
          <w:lang w:val="en-US"/>
        </w:rPr>
        <w:t>A longitudinal multilevel analysis (</w:t>
      </w:r>
      <w:proofErr w:type="spellStart"/>
      <w:r w:rsidRPr="007537F5">
        <w:rPr>
          <w:rFonts w:cstheme="minorHAnsi"/>
          <w:lang w:val="en-US"/>
        </w:rPr>
        <w:t>Hox</w:t>
      </w:r>
      <w:proofErr w:type="spellEnd"/>
      <w:r w:rsidRPr="007537F5">
        <w:rPr>
          <w:rFonts w:cstheme="minorHAnsi"/>
          <w:lang w:val="en-US"/>
        </w:rPr>
        <w:t xml:space="preserve">, </w:t>
      </w:r>
      <w:proofErr w:type="spellStart"/>
      <w:r w:rsidRPr="007537F5">
        <w:rPr>
          <w:rFonts w:cstheme="minorHAnsi"/>
          <w:lang w:val="en-US"/>
        </w:rPr>
        <w:t>Moerbeek</w:t>
      </w:r>
      <w:proofErr w:type="spellEnd"/>
      <w:r w:rsidRPr="007537F5">
        <w:rPr>
          <w:rFonts w:cstheme="minorHAnsi"/>
          <w:lang w:val="en-US"/>
        </w:rPr>
        <w:t xml:space="preserve">, and van de </w:t>
      </w:r>
      <w:proofErr w:type="spellStart"/>
      <w:r w:rsidRPr="007537F5">
        <w:rPr>
          <w:rFonts w:cstheme="minorHAnsi"/>
          <w:lang w:val="en-US"/>
        </w:rPr>
        <w:t>Schoot</w:t>
      </w:r>
      <w:proofErr w:type="spellEnd"/>
      <w:r w:rsidRPr="007537F5">
        <w:rPr>
          <w:rFonts w:cstheme="minorHAnsi"/>
          <w:lang w:val="en-US"/>
        </w:rPr>
        <w:t xml:space="preserve"> 2018) was carried out on both the de Heer data (16 countries) and the Luiten data (25 countries) separately, as well as on the combined data set (27 countries). As the combined data set </w:t>
      </w:r>
      <w:r w:rsidRPr="007537F5">
        <w:rPr>
          <w:rFonts w:cstheme="minorHAnsi"/>
          <w:lang w:val="en-US"/>
        </w:rPr>
        <w:lastRenderedPageBreak/>
        <w:t xml:space="preserve">includes countries that exist only in one of the two data original data sets, this assumes no hidden relation between being missing in one of the data collections and the missing response rates, implying Missing At Random (MAR). We also carried out separate analyses on the more limited data set of the 14 countries that contributed data to both de </w:t>
      </w:r>
      <w:proofErr w:type="spellStart"/>
      <w:r w:rsidR="00E512BB" w:rsidRPr="007537F5">
        <w:rPr>
          <w:rFonts w:cstheme="minorHAnsi"/>
          <w:lang w:val="en-US"/>
        </w:rPr>
        <w:t>Heer</w:t>
      </w:r>
      <w:proofErr w:type="spellEnd"/>
      <w:r w:rsidR="00E512BB" w:rsidRPr="007537F5">
        <w:rPr>
          <w:rFonts w:cstheme="minorHAnsi"/>
          <w:lang w:val="en-US"/>
        </w:rPr>
        <w:t xml:space="preserve"> </w:t>
      </w:r>
      <w:r w:rsidR="00E512BB">
        <w:rPr>
          <w:rFonts w:cstheme="minorHAnsi"/>
          <w:lang w:val="en-US"/>
        </w:rPr>
        <w:t>and</w:t>
      </w:r>
      <w:r w:rsidRPr="007537F5">
        <w:rPr>
          <w:rFonts w:cstheme="minorHAnsi"/>
          <w:lang w:val="en-US"/>
        </w:rPr>
        <w:t xml:space="preserve"> </w:t>
      </w:r>
      <w:proofErr w:type="spellStart"/>
      <w:r w:rsidRPr="007537F5">
        <w:rPr>
          <w:rFonts w:cstheme="minorHAnsi"/>
          <w:lang w:val="en-US"/>
        </w:rPr>
        <w:t>Luiten</w:t>
      </w:r>
      <w:proofErr w:type="spellEnd"/>
      <w:r w:rsidR="00052B67">
        <w:rPr>
          <w:rFonts w:cstheme="minorHAnsi"/>
          <w:lang w:val="en-US"/>
        </w:rPr>
        <w:t xml:space="preserve"> data sets</w:t>
      </w:r>
      <w:r w:rsidRPr="007537F5">
        <w:rPr>
          <w:rFonts w:cstheme="minorHAnsi"/>
          <w:lang w:val="en-US"/>
        </w:rPr>
        <w:t>. The results were highly similar; we therefore report only the results for the large combined data set containing data from 27 countries.</w:t>
      </w:r>
    </w:p>
    <w:p w:rsidR="007537F5" w:rsidRPr="007537F5" w:rsidRDefault="007537F5" w:rsidP="007537F5">
      <w:pPr>
        <w:rPr>
          <w:rFonts w:cstheme="minorHAnsi"/>
          <w:lang w:val="en-US"/>
        </w:rPr>
      </w:pPr>
    </w:p>
    <w:p w:rsidR="0050611D" w:rsidRDefault="007537F5" w:rsidP="007537F5">
      <w:pPr>
        <w:rPr>
          <w:rFonts w:cstheme="minorHAnsi"/>
          <w:lang w:val="en-US"/>
        </w:rPr>
      </w:pPr>
      <w:r w:rsidRPr="007537F5">
        <w:rPr>
          <w:rFonts w:cstheme="minorHAnsi"/>
          <w:lang w:val="en-US"/>
        </w:rPr>
        <w:t>We first analyzed trends for total response and subsequently for noncontacts and refusals. Two important components of nonresponse are noncontacts and refusals (e.g., AAPOR, 2016; de Leeuw and de Heer 2002</w:t>
      </w:r>
      <w:r w:rsidR="00B40FF4">
        <w:rPr>
          <w:rFonts w:cstheme="minorHAnsi"/>
          <w:lang w:val="en-US"/>
        </w:rPr>
        <w:t xml:space="preserve">). Potential factors influencing </w:t>
      </w:r>
      <w:proofErr w:type="spellStart"/>
      <w:r w:rsidR="007254D7">
        <w:rPr>
          <w:rFonts w:cstheme="minorHAnsi"/>
          <w:lang w:val="en-US"/>
        </w:rPr>
        <w:t>contactability</w:t>
      </w:r>
      <w:proofErr w:type="spellEnd"/>
      <w:r w:rsidR="00B40FF4">
        <w:rPr>
          <w:rFonts w:cstheme="minorHAnsi"/>
          <w:lang w:val="en-US"/>
        </w:rPr>
        <w:t xml:space="preserve"> (e.g., at home patterns, </w:t>
      </w:r>
      <w:r w:rsidR="007254D7">
        <w:rPr>
          <w:rFonts w:cstheme="minorHAnsi"/>
          <w:lang w:val="en-US"/>
        </w:rPr>
        <w:t xml:space="preserve">  physical impediments, such as guarded apartments, voice-mail, and interviewer call patterns) are different from potential factors influencing willingness to cooperate</w:t>
      </w:r>
      <w:r w:rsidR="006D72A5">
        <w:rPr>
          <w:rFonts w:cstheme="minorHAnsi"/>
          <w:lang w:val="en-US"/>
        </w:rPr>
        <w:t xml:space="preserve"> (e.g., mandatory nature, saliency of topic, survey attitude). For overviews see for instance, </w:t>
      </w:r>
      <w:r w:rsidR="007254D7">
        <w:rPr>
          <w:rFonts w:cstheme="minorHAnsi"/>
          <w:lang w:val="en-US"/>
        </w:rPr>
        <w:t>Groves an</w:t>
      </w:r>
      <w:r w:rsidR="006D72A5">
        <w:rPr>
          <w:rFonts w:cstheme="minorHAnsi"/>
          <w:lang w:val="en-US"/>
        </w:rPr>
        <w:t>d</w:t>
      </w:r>
      <w:r w:rsidR="007254D7">
        <w:rPr>
          <w:rFonts w:cstheme="minorHAnsi"/>
          <w:lang w:val="en-US"/>
        </w:rPr>
        <w:t xml:space="preserve"> Couper</w:t>
      </w:r>
      <w:r w:rsidR="006D72A5">
        <w:rPr>
          <w:rFonts w:cstheme="minorHAnsi"/>
          <w:lang w:val="en-US"/>
        </w:rPr>
        <w:t xml:space="preserve"> (1998),</w:t>
      </w:r>
      <w:r w:rsidRPr="007537F5">
        <w:rPr>
          <w:rFonts w:cstheme="minorHAnsi"/>
          <w:lang w:val="en-US"/>
        </w:rPr>
        <w:t xml:space="preserve"> Stoop </w:t>
      </w:r>
      <w:r w:rsidR="006D72A5">
        <w:rPr>
          <w:rFonts w:cstheme="minorHAnsi"/>
          <w:lang w:val="en-US"/>
        </w:rPr>
        <w:t>(</w:t>
      </w:r>
      <w:r w:rsidRPr="007537F5">
        <w:rPr>
          <w:rFonts w:cstheme="minorHAnsi"/>
          <w:lang w:val="en-US"/>
        </w:rPr>
        <w:t>2005)</w:t>
      </w:r>
      <w:r w:rsidR="006D72A5">
        <w:rPr>
          <w:rFonts w:cstheme="minorHAnsi"/>
          <w:lang w:val="en-US"/>
        </w:rPr>
        <w:t xml:space="preserve">, Groves, </w:t>
      </w:r>
      <w:r w:rsidR="009B325F">
        <w:rPr>
          <w:rFonts w:cstheme="minorHAnsi"/>
          <w:lang w:val="en-US"/>
        </w:rPr>
        <w:t>Dill</w:t>
      </w:r>
      <w:r w:rsidR="00CC6B0A">
        <w:rPr>
          <w:rFonts w:cstheme="minorHAnsi"/>
          <w:lang w:val="en-US"/>
        </w:rPr>
        <w:t>m</w:t>
      </w:r>
      <w:r w:rsidR="009B325F">
        <w:rPr>
          <w:rFonts w:cstheme="minorHAnsi"/>
          <w:lang w:val="en-US"/>
        </w:rPr>
        <w:t>a</w:t>
      </w:r>
      <w:r w:rsidR="00CC6B0A">
        <w:rPr>
          <w:rFonts w:cstheme="minorHAnsi"/>
          <w:lang w:val="en-US"/>
        </w:rPr>
        <w:t xml:space="preserve">n, </w:t>
      </w:r>
      <w:proofErr w:type="spellStart"/>
      <w:r w:rsidR="00CC6B0A">
        <w:rPr>
          <w:rFonts w:cstheme="minorHAnsi"/>
          <w:lang w:val="en-US"/>
        </w:rPr>
        <w:t>Eltinghe</w:t>
      </w:r>
      <w:proofErr w:type="spellEnd"/>
      <w:r w:rsidR="00CC6B0A">
        <w:rPr>
          <w:rFonts w:cstheme="minorHAnsi"/>
          <w:lang w:val="en-US"/>
        </w:rPr>
        <w:t>, and Little</w:t>
      </w:r>
      <w:r w:rsidR="006D72A5">
        <w:rPr>
          <w:rFonts w:cstheme="minorHAnsi"/>
          <w:lang w:val="en-US"/>
        </w:rPr>
        <w:t xml:space="preserve"> (2002)</w:t>
      </w:r>
      <w:r w:rsidR="000A03DE">
        <w:rPr>
          <w:rFonts w:cstheme="minorHAnsi"/>
          <w:lang w:val="en-US"/>
        </w:rPr>
        <w:t>.</w:t>
      </w:r>
      <w:r w:rsidR="00D5506C">
        <w:rPr>
          <w:rFonts w:cstheme="minorHAnsi"/>
          <w:lang w:val="en-US"/>
        </w:rPr>
        <w:t xml:space="preserve"> </w:t>
      </w:r>
      <w:r w:rsidR="006D72A5">
        <w:rPr>
          <w:rFonts w:cstheme="minorHAnsi"/>
          <w:lang w:val="en-US"/>
        </w:rPr>
        <w:t>Furthermore, not all noncontacts are unwilling when contacted</w:t>
      </w:r>
      <w:r w:rsidR="00A2450B">
        <w:rPr>
          <w:rFonts w:cstheme="minorHAnsi"/>
          <w:lang w:val="en-US"/>
        </w:rPr>
        <w:t xml:space="preserve"> </w:t>
      </w:r>
      <w:r w:rsidR="006D72A5">
        <w:rPr>
          <w:rFonts w:cstheme="minorHAnsi"/>
          <w:lang w:val="en-US"/>
        </w:rPr>
        <w:t xml:space="preserve">and </w:t>
      </w:r>
      <w:r w:rsidR="0050611D">
        <w:rPr>
          <w:rFonts w:cstheme="minorHAnsi"/>
          <w:lang w:val="en-US"/>
        </w:rPr>
        <w:t>increased fieldwork effort, such as increased contact attempts, i</w:t>
      </w:r>
      <w:r w:rsidR="009B325F">
        <w:rPr>
          <w:rFonts w:cstheme="minorHAnsi"/>
          <w:lang w:val="en-US"/>
        </w:rPr>
        <w:t>s a common approach to improve</w:t>
      </w:r>
      <w:r w:rsidR="0050611D">
        <w:rPr>
          <w:rFonts w:cstheme="minorHAnsi"/>
          <w:lang w:val="en-US"/>
        </w:rPr>
        <w:t xml:space="preserve"> overall response rates (Stoop et al, 2010; Williams and Brick, 2017). </w:t>
      </w:r>
      <w:r w:rsidR="009B325F">
        <w:rPr>
          <w:rFonts w:cstheme="minorHAnsi"/>
          <w:lang w:val="en-US"/>
        </w:rPr>
        <w:t xml:space="preserve">This is illustrated by the findings of </w:t>
      </w:r>
      <w:proofErr w:type="spellStart"/>
      <w:r w:rsidR="009B325F">
        <w:rPr>
          <w:rFonts w:cstheme="minorHAnsi"/>
          <w:lang w:val="en-US"/>
        </w:rPr>
        <w:t>Beullens</w:t>
      </w:r>
      <w:proofErr w:type="spellEnd"/>
      <w:r w:rsidR="009B325F">
        <w:rPr>
          <w:rFonts w:cstheme="minorHAnsi"/>
          <w:lang w:val="en-US"/>
        </w:rPr>
        <w:t xml:space="preserve"> et al (2018) who report that in the ESS noncontact rates appeared to decrease over time, but refusal rates did increase</w:t>
      </w:r>
      <w:r w:rsidR="00E512BB">
        <w:rPr>
          <w:rFonts w:cstheme="minorHAnsi"/>
          <w:lang w:val="en-US"/>
        </w:rPr>
        <w:t>.</w:t>
      </w:r>
      <w:r w:rsidR="009B325F">
        <w:rPr>
          <w:rFonts w:cstheme="minorHAnsi"/>
          <w:lang w:val="en-US"/>
        </w:rPr>
        <w:t xml:space="preserve"> </w:t>
      </w:r>
      <w:r w:rsidR="0050611D">
        <w:rPr>
          <w:rFonts w:cstheme="minorHAnsi"/>
          <w:lang w:val="en-US"/>
        </w:rPr>
        <w:t xml:space="preserve">Therefore, </w:t>
      </w:r>
      <w:r w:rsidR="009B325F">
        <w:rPr>
          <w:rFonts w:cstheme="minorHAnsi"/>
          <w:lang w:val="en-US"/>
        </w:rPr>
        <w:t xml:space="preserve">in our analysis </w:t>
      </w:r>
      <w:r w:rsidR="0050611D">
        <w:rPr>
          <w:rFonts w:cstheme="minorHAnsi"/>
          <w:lang w:val="en-US"/>
        </w:rPr>
        <w:t>the d</w:t>
      </w:r>
      <w:r w:rsidRPr="007537F5">
        <w:rPr>
          <w:rFonts w:cstheme="minorHAnsi"/>
          <w:lang w:val="en-US"/>
        </w:rPr>
        <w:t>ependent variables were (the empirical logit for)</w:t>
      </w:r>
      <w:r w:rsidR="009B325F">
        <w:rPr>
          <w:rFonts w:cstheme="minorHAnsi"/>
          <w:lang w:val="en-US"/>
        </w:rPr>
        <w:t xml:space="preserve"> </w:t>
      </w:r>
      <w:r w:rsidR="0050611D">
        <w:rPr>
          <w:rFonts w:cstheme="minorHAnsi"/>
          <w:lang w:val="en-US"/>
        </w:rPr>
        <w:t xml:space="preserve">overall </w:t>
      </w:r>
      <w:r w:rsidR="003B5C78">
        <w:rPr>
          <w:rFonts w:cstheme="minorHAnsi"/>
          <w:lang w:val="en-US"/>
        </w:rPr>
        <w:t>response,</w:t>
      </w:r>
      <w:r w:rsidR="009B325F">
        <w:rPr>
          <w:rFonts w:cstheme="minorHAnsi"/>
          <w:lang w:val="en-US"/>
        </w:rPr>
        <w:t xml:space="preserve"> </w:t>
      </w:r>
      <w:r w:rsidRPr="007537F5">
        <w:rPr>
          <w:rFonts w:cstheme="minorHAnsi"/>
          <w:lang w:val="en-US"/>
        </w:rPr>
        <w:t xml:space="preserve">noncontacts, and refusals. </w:t>
      </w:r>
    </w:p>
    <w:p w:rsidR="007537F5" w:rsidRPr="007537F5" w:rsidRDefault="007537F5" w:rsidP="007537F5">
      <w:pPr>
        <w:rPr>
          <w:rFonts w:cstheme="minorHAnsi"/>
          <w:lang w:val="en-US"/>
        </w:rPr>
      </w:pPr>
      <w:r w:rsidRPr="007537F5">
        <w:rPr>
          <w:rFonts w:cstheme="minorHAnsi"/>
          <w:lang w:val="en-US"/>
        </w:rPr>
        <w:t xml:space="preserve">Year was used as an explanatory variable. </w:t>
      </w:r>
      <w:r w:rsidR="0050611D">
        <w:rPr>
          <w:rFonts w:cstheme="minorHAnsi"/>
          <w:lang w:val="en-US"/>
        </w:rPr>
        <w:t>To</w:t>
      </w:r>
      <w:r w:rsidR="0050611D" w:rsidRPr="007537F5">
        <w:rPr>
          <w:rFonts w:cstheme="minorHAnsi"/>
          <w:lang w:val="en-US"/>
        </w:rPr>
        <w:t xml:space="preserve"> examine </w:t>
      </w:r>
      <w:r w:rsidR="0050611D">
        <w:rPr>
          <w:rFonts w:cstheme="minorHAnsi"/>
          <w:lang w:val="en-US"/>
        </w:rPr>
        <w:t xml:space="preserve">potential </w:t>
      </w:r>
      <w:r w:rsidR="0050611D" w:rsidRPr="007537F5">
        <w:rPr>
          <w:rFonts w:cstheme="minorHAnsi"/>
          <w:lang w:val="en-US"/>
        </w:rPr>
        <w:t xml:space="preserve">differences in trends between the </w:t>
      </w:r>
      <w:r w:rsidR="00871674">
        <w:rPr>
          <w:rFonts w:cstheme="minorHAnsi"/>
          <w:lang w:val="en-US"/>
        </w:rPr>
        <w:t xml:space="preserve">early (1980-1997) </w:t>
      </w:r>
      <w:r w:rsidR="0050611D" w:rsidRPr="007537F5">
        <w:rPr>
          <w:rFonts w:cstheme="minorHAnsi"/>
          <w:lang w:val="en-US"/>
        </w:rPr>
        <w:t>de Heer</w:t>
      </w:r>
      <w:r w:rsidR="00871674">
        <w:rPr>
          <w:rFonts w:cstheme="minorHAnsi"/>
          <w:lang w:val="en-US"/>
        </w:rPr>
        <w:t xml:space="preserve"> data </w:t>
      </w:r>
      <w:r w:rsidR="00871674" w:rsidRPr="007537F5">
        <w:rPr>
          <w:rFonts w:cstheme="minorHAnsi"/>
          <w:lang w:val="en-US"/>
        </w:rPr>
        <w:t>and</w:t>
      </w:r>
      <w:r w:rsidR="0050611D" w:rsidRPr="007537F5">
        <w:rPr>
          <w:rFonts w:cstheme="minorHAnsi"/>
          <w:lang w:val="en-US"/>
        </w:rPr>
        <w:t xml:space="preserve"> </w:t>
      </w:r>
      <w:r w:rsidR="00871674">
        <w:rPr>
          <w:rFonts w:cstheme="minorHAnsi"/>
          <w:lang w:val="en-US"/>
        </w:rPr>
        <w:t>the new (1997-2015</w:t>
      </w:r>
      <w:r w:rsidR="00E512BB">
        <w:rPr>
          <w:rFonts w:cstheme="minorHAnsi"/>
          <w:lang w:val="en-US"/>
        </w:rPr>
        <w:t xml:space="preserve">) </w:t>
      </w:r>
      <w:proofErr w:type="spellStart"/>
      <w:r w:rsidR="00E512BB">
        <w:rPr>
          <w:rFonts w:cstheme="minorHAnsi"/>
          <w:lang w:val="en-US"/>
        </w:rPr>
        <w:t>Luiten</w:t>
      </w:r>
      <w:proofErr w:type="spellEnd"/>
      <w:r w:rsidR="0050611D" w:rsidRPr="007537F5">
        <w:rPr>
          <w:rFonts w:cstheme="minorHAnsi"/>
          <w:lang w:val="en-US"/>
        </w:rPr>
        <w:t xml:space="preserve"> data, we conducted an independent samples difference test on the regression coefficients (Guilford &amp; </w:t>
      </w:r>
      <w:proofErr w:type="spellStart"/>
      <w:r w:rsidR="0050611D" w:rsidRPr="007537F5">
        <w:rPr>
          <w:rFonts w:cstheme="minorHAnsi"/>
          <w:lang w:val="en-US"/>
        </w:rPr>
        <w:t>Fruchter</w:t>
      </w:r>
      <w:proofErr w:type="spellEnd"/>
      <w:r w:rsidR="0050611D" w:rsidRPr="007537F5">
        <w:rPr>
          <w:rFonts w:cstheme="minorHAnsi"/>
          <w:lang w:val="en-US"/>
        </w:rPr>
        <w:t xml:space="preserve"> 1978:148).</w:t>
      </w:r>
      <w:r w:rsidR="0050611D">
        <w:rPr>
          <w:rFonts w:cstheme="minorHAnsi"/>
          <w:lang w:val="en-US"/>
        </w:rPr>
        <w:t xml:space="preserve"> Finally, w</w:t>
      </w:r>
      <w:r w:rsidRPr="007537F5">
        <w:rPr>
          <w:rFonts w:cstheme="minorHAnsi"/>
          <w:lang w:val="en-US"/>
        </w:rPr>
        <w:t>hether or not a survey is mandatory will have a marked influence on cooperation</w:t>
      </w:r>
      <w:r w:rsidR="0050611D">
        <w:rPr>
          <w:rFonts w:cstheme="minorHAnsi"/>
          <w:lang w:val="en-US"/>
        </w:rPr>
        <w:t>, but not on accessibility (contact)</w:t>
      </w:r>
      <w:r w:rsidRPr="007537F5">
        <w:rPr>
          <w:rFonts w:cstheme="minorHAnsi"/>
          <w:lang w:val="en-US"/>
        </w:rPr>
        <w:t xml:space="preserve"> (</w:t>
      </w:r>
      <w:r w:rsidR="00CC6B0A">
        <w:rPr>
          <w:rFonts w:cstheme="minorHAnsi"/>
          <w:lang w:val="en-US"/>
        </w:rPr>
        <w:t xml:space="preserve">e.g., </w:t>
      </w:r>
      <w:r w:rsidRPr="007537F5">
        <w:rPr>
          <w:rFonts w:cstheme="minorHAnsi"/>
          <w:lang w:val="en-US"/>
        </w:rPr>
        <w:t xml:space="preserve">de Heer, 1999; de Leeuw and de Heer, 2002). </w:t>
      </w:r>
      <w:r w:rsidR="0050611D" w:rsidRPr="007537F5">
        <w:rPr>
          <w:rFonts w:cstheme="minorHAnsi"/>
          <w:lang w:val="en-US"/>
        </w:rPr>
        <w:t>In several countries, the LFS is a mandatory survey</w:t>
      </w:r>
      <w:r w:rsidR="00CC6B0A">
        <w:rPr>
          <w:rFonts w:cstheme="minorHAnsi"/>
          <w:lang w:val="en-US"/>
        </w:rPr>
        <w:t xml:space="preserve">, while in most </w:t>
      </w:r>
      <w:r w:rsidR="00F63654">
        <w:rPr>
          <w:rFonts w:cstheme="minorHAnsi"/>
          <w:lang w:val="en-US"/>
        </w:rPr>
        <w:t xml:space="preserve">countries </w:t>
      </w:r>
      <w:r w:rsidR="00CC6B0A">
        <w:rPr>
          <w:rFonts w:cstheme="minorHAnsi"/>
          <w:lang w:val="en-US"/>
        </w:rPr>
        <w:t>it is voluntary.</w:t>
      </w:r>
      <w:r w:rsidR="0050611D" w:rsidRPr="007537F5">
        <w:rPr>
          <w:rFonts w:cstheme="minorHAnsi"/>
          <w:lang w:val="en-US"/>
        </w:rPr>
        <w:t xml:space="preserve"> </w:t>
      </w:r>
      <w:r w:rsidRPr="007537F5">
        <w:rPr>
          <w:rFonts w:cstheme="minorHAnsi"/>
          <w:lang w:val="en-US"/>
        </w:rPr>
        <w:t xml:space="preserve">Fortunately, we could add this variable to the data set and include ‘mandatory’ in the analyses. </w:t>
      </w:r>
    </w:p>
    <w:p w:rsidR="00C01066" w:rsidRDefault="006527E6" w:rsidP="00624FD5">
      <w:pPr>
        <w:pStyle w:val="Heading2"/>
        <w:numPr>
          <w:ilvl w:val="0"/>
          <w:numId w:val="2"/>
        </w:numPr>
        <w:rPr>
          <w:lang w:val="en-GB"/>
        </w:rPr>
      </w:pPr>
      <w:r w:rsidRPr="00572FE4">
        <w:rPr>
          <w:lang w:val="en-GB"/>
        </w:rPr>
        <w:t>Results</w:t>
      </w:r>
    </w:p>
    <w:p w:rsidR="00624FD5" w:rsidRDefault="00624FD5" w:rsidP="00624FD5">
      <w:pPr>
        <w:rPr>
          <w:lang w:val="en-GB"/>
        </w:rPr>
      </w:pPr>
    </w:p>
    <w:p w:rsidR="00624FD5" w:rsidRPr="00DF6302" w:rsidRDefault="00624FD5" w:rsidP="00624FD5">
      <w:pPr>
        <w:rPr>
          <w:b/>
          <w:lang w:val="en-GB"/>
        </w:rPr>
      </w:pPr>
      <w:r w:rsidRPr="00DF6302">
        <w:rPr>
          <w:rFonts w:asciiTheme="majorHAnsi" w:hAnsiTheme="majorHAnsi" w:cstheme="majorHAnsi"/>
          <w:b/>
          <w:lang w:val="en-US"/>
        </w:rPr>
        <w:t>3.1. General trends in response rate</w:t>
      </w:r>
    </w:p>
    <w:p w:rsidR="00684597" w:rsidRDefault="00684597" w:rsidP="00C01066">
      <w:pPr>
        <w:rPr>
          <w:rFonts w:cstheme="minorHAnsi"/>
          <w:lang w:val="en-US"/>
        </w:rPr>
      </w:pPr>
    </w:p>
    <w:p w:rsidR="00684597" w:rsidRDefault="00684597" w:rsidP="00C01066">
      <w:pPr>
        <w:rPr>
          <w:rFonts w:cstheme="minorHAnsi"/>
          <w:lang w:val="en-US"/>
        </w:rPr>
      </w:pPr>
      <w:r>
        <w:rPr>
          <w:rFonts w:cstheme="minorHAnsi"/>
          <w:lang w:val="en-US"/>
        </w:rPr>
        <w:t>First, we study the trends in overall response rates for the combined data over</w:t>
      </w:r>
      <w:r w:rsidR="002D3B74">
        <w:rPr>
          <w:rFonts w:cstheme="minorHAnsi"/>
          <w:lang w:val="en-US"/>
        </w:rPr>
        <w:t xml:space="preserve"> the </w:t>
      </w:r>
      <w:r>
        <w:rPr>
          <w:rFonts w:cstheme="minorHAnsi"/>
          <w:lang w:val="en-US"/>
        </w:rPr>
        <w:t xml:space="preserve">whole time period 1980-2015, as well as for the time periods 1980-1997 (de Heer data) and 1997-2015 (Luiten data) separately. </w:t>
      </w:r>
      <w:r w:rsidR="00C01066" w:rsidRPr="00C01066">
        <w:rPr>
          <w:rFonts w:cstheme="minorHAnsi"/>
          <w:lang w:val="en-US"/>
        </w:rPr>
        <w:t xml:space="preserve">The general trend is that </w:t>
      </w:r>
      <w:r w:rsidR="00026275">
        <w:rPr>
          <w:rFonts w:cstheme="minorHAnsi"/>
          <w:lang w:val="en-US"/>
        </w:rPr>
        <w:t xml:space="preserve">overall </w:t>
      </w:r>
      <w:r w:rsidR="00C01066" w:rsidRPr="00C01066">
        <w:rPr>
          <w:rFonts w:cstheme="minorHAnsi"/>
          <w:lang w:val="en-US"/>
        </w:rPr>
        <w:t xml:space="preserve">response is still decreasing over the years. </w:t>
      </w:r>
    </w:p>
    <w:p w:rsidR="00684597" w:rsidRDefault="00C01066" w:rsidP="00684597">
      <w:pPr>
        <w:rPr>
          <w:rFonts w:cstheme="minorHAnsi"/>
          <w:lang w:val="en-US"/>
        </w:rPr>
      </w:pPr>
      <w:r w:rsidRPr="00C01066">
        <w:rPr>
          <w:rFonts w:cstheme="minorHAnsi"/>
          <w:lang w:val="en-US"/>
        </w:rPr>
        <w:t>Table 1 shows the results for a reanalysis of the de Heer data set (period 1980-1997), and the analyses of the Luiten data set (period 1998-2015) and the combined de Heer/Luiten data (period 1980-2015).</w:t>
      </w:r>
      <w:r w:rsidR="00684597">
        <w:rPr>
          <w:rFonts w:cstheme="minorHAnsi"/>
          <w:lang w:val="en-US"/>
        </w:rPr>
        <w:t xml:space="preserve">  T</w:t>
      </w:r>
      <w:r w:rsidR="00684597" w:rsidRPr="00C01066">
        <w:rPr>
          <w:rFonts w:cstheme="minorHAnsi"/>
          <w:lang w:val="en-US"/>
        </w:rPr>
        <w:t xml:space="preserve">he parameter estimates for year are significant </w:t>
      </w:r>
      <w:r w:rsidR="003531B6">
        <w:rPr>
          <w:rFonts w:cstheme="minorHAnsi"/>
          <w:lang w:val="en-US"/>
        </w:rPr>
        <w:t xml:space="preserve">and negative </w:t>
      </w:r>
      <w:r w:rsidR="00684597" w:rsidRPr="00C01066">
        <w:rPr>
          <w:rFonts w:cstheme="minorHAnsi"/>
          <w:lang w:val="en-US"/>
        </w:rPr>
        <w:t xml:space="preserve">for all </w:t>
      </w:r>
      <w:r w:rsidR="00684597">
        <w:rPr>
          <w:rFonts w:cstheme="minorHAnsi"/>
          <w:lang w:val="en-US"/>
        </w:rPr>
        <w:t xml:space="preserve">three </w:t>
      </w:r>
      <w:r w:rsidR="00684597" w:rsidRPr="00C01066">
        <w:rPr>
          <w:rFonts w:cstheme="minorHAnsi"/>
          <w:lang w:val="en-US"/>
        </w:rPr>
        <w:t>data sets</w:t>
      </w:r>
      <w:r w:rsidR="00684597">
        <w:rPr>
          <w:rFonts w:cstheme="minorHAnsi"/>
          <w:lang w:val="en-US"/>
        </w:rPr>
        <w:t xml:space="preserve">; indicating a </w:t>
      </w:r>
      <w:r w:rsidR="003531B6">
        <w:rPr>
          <w:rFonts w:cstheme="minorHAnsi"/>
          <w:lang w:val="en-US"/>
        </w:rPr>
        <w:t>downward</w:t>
      </w:r>
      <w:r w:rsidR="00684597">
        <w:rPr>
          <w:rFonts w:cstheme="minorHAnsi"/>
          <w:lang w:val="en-US"/>
        </w:rPr>
        <w:t xml:space="preserve"> trend in response rates</w:t>
      </w:r>
      <w:r w:rsidR="00684597" w:rsidRPr="00C01066">
        <w:rPr>
          <w:rFonts w:cstheme="minorHAnsi"/>
          <w:lang w:val="en-US"/>
        </w:rPr>
        <w:t xml:space="preserve">. </w:t>
      </w:r>
      <w:r w:rsidR="00684597">
        <w:rPr>
          <w:rFonts w:cstheme="minorHAnsi"/>
          <w:lang w:val="en-US"/>
        </w:rPr>
        <w:t>Furthermore, it is important to note that</w:t>
      </w:r>
      <w:r w:rsidR="00684597" w:rsidRPr="00C01066">
        <w:rPr>
          <w:rFonts w:cstheme="minorHAnsi"/>
          <w:lang w:val="en-US"/>
        </w:rPr>
        <w:t xml:space="preserve"> that the difference in year trends </w:t>
      </w:r>
      <w:r w:rsidR="00684597">
        <w:rPr>
          <w:rFonts w:cstheme="minorHAnsi"/>
          <w:lang w:val="en-US"/>
        </w:rPr>
        <w:t xml:space="preserve">between the </w:t>
      </w:r>
      <w:r w:rsidR="0081685A">
        <w:rPr>
          <w:rFonts w:cstheme="minorHAnsi"/>
          <w:lang w:val="en-US"/>
        </w:rPr>
        <w:t xml:space="preserve">De Heer and the Luiten </w:t>
      </w:r>
      <w:r w:rsidR="00684597">
        <w:rPr>
          <w:rFonts w:cstheme="minorHAnsi"/>
          <w:lang w:val="en-US"/>
        </w:rPr>
        <w:t xml:space="preserve">data sets </w:t>
      </w:r>
      <w:r w:rsidR="00684597" w:rsidRPr="00C01066">
        <w:rPr>
          <w:rFonts w:cstheme="minorHAnsi"/>
          <w:lang w:val="en-US"/>
        </w:rPr>
        <w:t xml:space="preserve">is nonsignificant. This means that the same downward trend in overall response shown in the early de Heer data is continuing after 1997: response is decreasing steadily over the years. </w:t>
      </w:r>
    </w:p>
    <w:p w:rsidR="00684597" w:rsidRDefault="00684597" w:rsidP="00684597">
      <w:pPr>
        <w:rPr>
          <w:rFonts w:cstheme="min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19"/>
        <w:gridCol w:w="2319"/>
        <w:gridCol w:w="2321"/>
      </w:tblGrid>
      <w:tr w:rsidR="00026275" w:rsidRPr="00335B97" w:rsidTr="00776F45">
        <w:tc>
          <w:tcPr>
            <w:tcW w:w="9280" w:type="dxa"/>
            <w:gridSpan w:val="4"/>
            <w:tcBorders>
              <w:top w:val="nil"/>
              <w:left w:val="nil"/>
              <w:bottom w:val="single" w:sz="4" w:space="0" w:color="auto"/>
              <w:right w:val="nil"/>
            </w:tcBorders>
            <w:hideMark/>
          </w:tcPr>
          <w:p w:rsidR="00026275" w:rsidRPr="00335B97" w:rsidRDefault="00026275" w:rsidP="00D73E9E">
            <w:pPr>
              <w:spacing w:after="200"/>
              <w:rPr>
                <w:rFonts w:cstheme="minorHAnsi"/>
                <w:b/>
              </w:rPr>
            </w:pPr>
            <w:r>
              <w:rPr>
                <w:rFonts w:cstheme="minorHAnsi"/>
                <w:b/>
                <w:lang w:val="fr-BE"/>
              </w:rPr>
              <w:t>Table 1.</w:t>
            </w:r>
            <w:r w:rsidRPr="00335B97">
              <w:rPr>
                <w:rFonts w:cstheme="minorHAnsi"/>
                <w:b/>
                <w:lang w:val="fr-BE"/>
              </w:rPr>
              <w:t xml:space="preserve"> </w:t>
            </w:r>
            <w:proofErr w:type="spellStart"/>
            <w:r w:rsidRPr="00026275">
              <w:rPr>
                <w:rFonts w:cstheme="minorHAnsi"/>
                <w:lang w:val="fr-BE"/>
              </w:rPr>
              <w:t>Multilevel</w:t>
            </w:r>
            <w:proofErr w:type="spellEnd"/>
            <w:r w:rsidRPr="00026275">
              <w:rPr>
                <w:rFonts w:cstheme="minorHAnsi"/>
                <w:lang w:val="fr-BE"/>
              </w:rPr>
              <w:t xml:space="preserve"> </w:t>
            </w:r>
            <w:proofErr w:type="spellStart"/>
            <w:r w:rsidRPr="00026275">
              <w:rPr>
                <w:rFonts w:cstheme="minorHAnsi"/>
                <w:lang w:val="fr-BE"/>
              </w:rPr>
              <w:t>Regressions</w:t>
            </w:r>
            <w:proofErr w:type="spellEnd"/>
            <w:r w:rsidRPr="00026275">
              <w:rPr>
                <w:rFonts w:cstheme="minorHAnsi"/>
                <w:lang w:val="fr-BE"/>
              </w:rPr>
              <w:t xml:space="preserve"> on </w:t>
            </w:r>
            <w:proofErr w:type="spellStart"/>
            <w:r w:rsidRPr="00026275">
              <w:rPr>
                <w:rFonts w:cstheme="minorHAnsi"/>
                <w:lang w:val="fr-BE"/>
              </w:rPr>
              <w:t>Response</w:t>
            </w:r>
            <w:proofErr w:type="spellEnd"/>
            <w:r w:rsidRPr="00026275">
              <w:rPr>
                <w:rFonts w:cstheme="minorHAnsi"/>
                <w:lang w:val="fr-BE"/>
              </w:rPr>
              <w:t xml:space="preserve"> </w:t>
            </w:r>
            <w:proofErr w:type="spellStart"/>
            <w:r w:rsidRPr="00026275">
              <w:rPr>
                <w:rFonts w:cstheme="minorHAnsi"/>
                <w:lang w:val="fr-BE"/>
              </w:rPr>
              <w:t>Logit</w:t>
            </w:r>
            <w:proofErr w:type="spellEnd"/>
            <w:r w:rsidR="000E6A0D">
              <w:rPr>
                <w:rFonts w:cstheme="minorHAnsi"/>
                <w:lang w:val="fr-BE"/>
              </w:rPr>
              <w:t xml:space="preserve"> LFS</w:t>
            </w:r>
            <w:r w:rsidRPr="00026275">
              <w:rPr>
                <w:rFonts w:cstheme="minorHAnsi"/>
                <w:lang w:val="fr-BE"/>
              </w:rPr>
              <w:t xml:space="preserve">. </w:t>
            </w:r>
            <w:proofErr w:type="spellStart"/>
            <w:r w:rsidRPr="00026275">
              <w:rPr>
                <w:rFonts w:cstheme="minorHAnsi"/>
              </w:rPr>
              <w:t>Estimates</w:t>
            </w:r>
            <w:proofErr w:type="spellEnd"/>
            <w:r w:rsidRPr="00026275">
              <w:rPr>
                <w:rFonts w:cstheme="minorHAnsi"/>
              </w:rPr>
              <w:t xml:space="preserve"> and (standard </w:t>
            </w:r>
            <w:proofErr w:type="spellStart"/>
            <w:r w:rsidRPr="00026275">
              <w:rPr>
                <w:rFonts w:cstheme="minorHAnsi"/>
              </w:rPr>
              <w:t>errors</w:t>
            </w:r>
            <w:proofErr w:type="spellEnd"/>
            <w:r w:rsidRPr="00026275">
              <w:rPr>
                <w:rFonts w:cstheme="minorHAnsi"/>
              </w:rPr>
              <w:t>)</w:t>
            </w:r>
          </w:p>
        </w:tc>
      </w:tr>
      <w:tr w:rsidR="00026275" w:rsidRPr="00335B97" w:rsidTr="00776F45">
        <w:tc>
          <w:tcPr>
            <w:tcW w:w="2321" w:type="dxa"/>
            <w:tcBorders>
              <w:top w:val="single" w:sz="4" w:space="0" w:color="auto"/>
              <w:bottom w:val="single" w:sz="4" w:space="0" w:color="auto"/>
            </w:tcBorders>
          </w:tcPr>
          <w:p w:rsidR="00026275" w:rsidRPr="00335B97" w:rsidRDefault="00026275" w:rsidP="00D73E9E">
            <w:pPr>
              <w:spacing w:after="200"/>
              <w:rPr>
                <w:rFonts w:cstheme="minorHAnsi"/>
              </w:rPr>
            </w:pPr>
          </w:p>
        </w:tc>
        <w:tc>
          <w:tcPr>
            <w:tcW w:w="2319" w:type="dxa"/>
            <w:tcBorders>
              <w:top w:val="single" w:sz="4" w:space="0" w:color="auto"/>
              <w:bottom w:val="single" w:sz="4" w:space="0" w:color="auto"/>
            </w:tcBorders>
          </w:tcPr>
          <w:p w:rsidR="00026275" w:rsidRPr="00335B97" w:rsidRDefault="00026275" w:rsidP="00D73E9E">
            <w:pPr>
              <w:spacing w:after="200"/>
              <w:rPr>
                <w:rFonts w:cstheme="minorHAnsi"/>
              </w:rPr>
            </w:pPr>
            <w:r w:rsidRPr="00335B97">
              <w:rPr>
                <w:rFonts w:cstheme="minorHAnsi"/>
              </w:rPr>
              <w:t>de Heer Data      1980-1997</w:t>
            </w:r>
          </w:p>
        </w:tc>
        <w:tc>
          <w:tcPr>
            <w:tcW w:w="2319" w:type="dxa"/>
            <w:tcBorders>
              <w:top w:val="single" w:sz="4" w:space="0" w:color="auto"/>
              <w:bottom w:val="single" w:sz="4" w:space="0" w:color="auto"/>
            </w:tcBorders>
          </w:tcPr>
          <w:p w:rsidR="00026275" w:rsidRPr="00335B97" w:rsidRDefault="00026275" w:rsidP="00D73E9E">
            <w:pPr>
              <w:spacing w:after="200"/>
              <w:rPr>
                <w:rFonts w:cstheme="minorHAnsi"/>
              </w:rPr>
            </w:pPr>
            <w:r w:rsidRPr="00335B97">
              <w:rPr>
                <w:rFonts w:cstheme="minorHAnsi"/>
              </w:rPr>
              <w:t>Luiten Data       1997-2015</w:t>
            </w:r>
          </w:p>
        </w:tc>
        <w:tc>
          <w:tcPr>
            <w:tcW w:w="2321" w:type="dxa"/>
            <w:tcBorders>
              <w:top w:val="single" w:sz="4" w:space="0" w:color="auto"/>
              <w:bottom w:val="single" w:sz="4" w:space="0" w:color="auto"/>
            </w:tcBorders>
          </w:tcPr>
          <w:p w:rsidR="00026275" w:rsidRPr="00335B97" w:rsidRDefault="00026275" w:rsidP="00D73E9E">
            <w:pPr>
              <w:spacing w:after="200"/>
              <w:rPr>
                <w:rFonts w:cstheme="minorHAnsi"/>
              </w:rPr>
            </w:pPr>
            <w:proofErr w:type="spellStart"/>
            <w:r w:rsidRPr="00335B97">
              <w:rPr>
                <w:rFonts w:cstheme="minorHAnsi"/>
              </w:rPr>
              <w:t>Combined</w:t>
            </w:r>
            <w:proofErr w:type="spellEnd"/>
            <w:r w:rsidRPr="00335B97">
              <w:rPr>
                <w:rFonts w:cstheme="minorHAnsi"/>
              </w:rPr>
              <w:t xml:space="preserve"> Data 1980-2015</w:t>
            </w:r>
          </w:p>
        </w:tc>
      </w:tr>
      <w:tr w:rsidR="00026275" w:rsidRPr="00335B97" w:rsidTr="00776F45">
        <w:tc>
          <w:tcPr>
            <w:tcW w:w="2321" w:type="dxa"/>
            <w:tcBorders>
              <w:top w:val="single" w:sz="4" w:space="0" w:color="auto"/>
            </w:tcBorders>
            <w:hideMark/>
          </w:tcPr>
          <w:p w:rsidR="00026275" w:rsidRPr="00335B97" w:rsidRDefault="00026275" w:rsidP="00D73E9E">
            <w:pPr>
              <w:spacing w:after="200"/>
              <w:rPr>
                <w:rFonts w:cstheme="minorHAnsi"/>
              </w:rPr>
            </w:pPr>
            <w:proofErr w:type="spellStart"/>
            <w:r w:rsidRPr="00335B97">
              <w:rPr>
                <w:rFonts w:cstheme="minorHAnsi"/>
              </w:rPr>
              <w:t>Intercept</w:t>
            </w:r>
            <w:proofErr w:type="spellEnd"/>
          </w:p>
        </w:tc>
        <w:tc>
          <w:tcPr>
            <w:tcW w:w="2319" w:type="dxa"/>
            <w:tcBorders>
              <w:top w:val="single" w:sz="4" w:space="0" w:color="auto"/>
            </w:tcBorders>
          </w:tcPr>
          <w:p w:rsidR="00026275" w:rsidRPr="00335B97" w:rsidRDefault="00026275" w:rsidP="00D73E9E">
            <w:pPr>
              <w:spacing w:after="200"/>
              <w:rPr>
                <w:rFonts w:cstheme="minorHAnsi"/>
              </w:rPr>
            </w:pPr>
            <w:r w:rsidRPr="00335B97">
              <w:rPr>
                <w:rFonts w:cstheme="minorHAnsi"/>
              </w:rPr>
              <w:t>1.709 (.2494)</w:t>
            </w:r>
          </w:p>
        </w:tc>
        <w:tc>
          <w:tcPr>
            <w:tcW w:w="2319" w:type="dxa"/>
            <w:tcBorders>
              <w:top w:val="single" w:sz="4" w:space="0" w:color="auto"/>
            </w:tcBorders>
          </w:tcPr>
          <w:p w:rsidR="00026275" w:rsidRPr="00335B97" w:rsidRDefault="00026275" w:rsidP="00D73E9E">
            <w:pPr>
              <w:spacing w:after="200"/>
              <w:rPr>
                <w:rFonts w:cstheme="minorHAnsi"/>
              </w:rPr>
            </w:pPr>
            <w:r w:rsidRPr="00335B97">
              <w:rPr>
                <w:rFonts w:cstheme="minorHAnsi"/>
              </w:rPr>
              <w:t>1.332 (.1874)</w:t>
            </w:r>
          </w:p>
        </w:tc>
        <w:tc>
          <w:tcPr>
            <w:tcW w:w="2321" w:type="dxa"/>
            <w:tcBorders>
              <w:top w:val="single" w:sz="4" w:space="0" w:color="auto"/>
            </w:tcBorders>
          </w:tcPr>
          <w:p w:rsidR="00026275" w:rsidRPr="00335B97" w:rsidRDefault="00026275" w:rsidP="00D73E9E">
            <w:pPr>
              <w:spacing w:after="200"/>
              <w:rPr>
                <w:rFonts w:cstheme="minorHAnsi"/>
              </w:rPr>
            </w:pPr>
            <w:r w:rsidRPr="00335B97">
              <w:rPr>
                <w:rFonts w:cstheme="minorHAnsi"/>
              </w:rPr>
              <w:t>1.540 (.1662)</w:t>
            </w:r>
          </w:p>
        </w:tc>
      </w:tr>
      <w:tr w:rsidR="00026275" w:rsidRPr="00335B97" w:rsidTr="00776F45">
        <w:tc>
          <w:tcPr>
            <w:tcW w:w="2321" w:type="dxa"/>
            <w:hideMark/>
          </w:tcPr>
          <w:p w:rsidR="00026275" w:rsidRPr="00335B97" w:rsidRDefault="00026275" w:rsidP="00D73E9E">
            <w:pPr>
              <w:spacing w:after="200"/>
              <w:rPr>
                <w:rFonts w:cstheme="minorHAnsi"/>
              </w:rPr>
            </w:pPr>
            <w:proofErr w:type="spellStart"/>
            <w:r w:rsidRPr="00335B97">
              <w:rPr>
                <w:rFonts w:cstheme="minorHAnsi"/>
              </w:rPr>
              <w:t>Year</w:t>
            </w:r>
            <w:proofErr w:type="spellEnd"/>
            <w:r w:rsidRPr="00335B97">
              <w:rPr>
                <w:rFonts w:cstheme="minorHAnsi"/>
              </w:rPr>
              <w:tab/>
            </w:r>
          </w:p>
        </w:tc>
        <w:tc>
          <w:tcPr>
            <w:tcW w:w="2319" w:type="dxa"/>
          </w:tcPr>
          <w:p w:rsidR="00026275" w:rsidRPr="00335B97" w:rsidRDefault="00026275" w:rsidP="00D73E9E">
            <w:pPr>
              <w:spacing w:after="200"/>
              <w:rPr>
                <w:rFonts w:cstheme="minorHAnsi"/>
              </w:rPr>
            </w:pPr>
            <w:r w:rsidRPr="00335B97">
              <w:rPr>
                <w:rFonts w:cstheme="minorHAnsi"/>
              </w:rPr>
              <w:t>-0.031 (.0038)</w:t>
            </w:r>
          </w:p>
        </w:tc>
        <w:tc>
          <w:tcPr>
            <w:tcW w:w="2319" w:type="dxa"/>
          </w:tcPr>
          <w:p w:rsidR="00026275" w:rsidRPr="00335B97" w:rsidRDefault="00026275" w:rsidP="00D73E9E">
            <w:pPr>
              <w:spacing w:after="200"/>
              <w:rPr>
                <w:rFonts w:cstheme="minorHAnsi"/>
              </w:rPr>
            </w:pPr>
            <w:r w:rsidRPr="00335B97">
              <w:rPr>
                <w:rFonts w:cstheme="minorHAnsi"/>
              </w:rPr>
              <w:t>-0.035 (.0028)</w:t>
            </w:r>
          </w:p>
        </w:tc>
        <w:tc>
          <w:tcPr>
            <w:tcW w:w="2321" w:type="dxa"/>
          </w:tcPr>
          <w:p w:rsidR="00026275" w:rsidRPr="00335B97" w:rsidRDefault="00026275" w:rsidP="00D73E9E">
            <w:pPr>
              <w:spacing w:after="200"/>
              <w:rPr>
                <w:rFonts w:cstheme="minorHAnsi"/>
              </w:rPr>
            </w:pPr>
            <w:r w:rsidRPr="00335B97">
              <w:rPr>
                <w:rFonts w:cstheme="minorHAnsi"/>
              </w:rPr>
              <w:t>-0.054 (.0020)</w:t>
            </w:r>
          </w:p>
        </w:tc>
      </w:tr>
      <w:tr w:rsidR="00026275" w:rsidRPr="00335B97" w:rsidTr="00776F45">
        <w:tc>
          <w:tcPr>
            <w:tcW w:w="2321" w:type="dxa"/>
            <w:hideMark/>
          </w:tcPr>
          <w:p w:rsidR="00026275" w:rsidRPr="00335B97" w:rsidRDefault="00026275" w:rsidP="00D73E9E">
            <w:pPr>
              <w:spacing w:after="200"/>
              <w:rPr>
                <w:rFonts w:cstheme="minorHAnsi"/>
              </w:rPr>
            </w:pPr>
            <w:proofErr w:type="spellStart"/>
            <w:r w:rsidRPr="00335B97">
              <w:rPr>
                <w:rFonts w:cstheme="minorHAnsi"/>
              </w:rPr>
              <w:t>Mandatory</w:t>
            </w:r>
            <w:proofErr w:type="spellEnd"/>
          </w:p>
        </w:tc>
        <w:tc>
          <w:tcPr>
            <w:tcW w:w="2319" w:type="dxa"/>
          </w:tcPr>
          <w:p w:rsidR="00026275" w:rsidRPr="00335B97" w:rsidRDefault="00026275" w:rsidP="00D73E9E">
            <w:pPr>
              <w:spacing w:after="200"/>
              <w:rPr>
                <w:rFonts w:cstheme="minorHAnsi"/>
              </w:rPr>
            </w:pPr>
            <w:r w:rsidRPr="00335B97">
              <w:rPr>
                <w:rFonts w:cstheme="minorHAnsi"/>
              </w:rPr>
              <w:t>0.880 (.3754)</w:t>
            </w:r>
          </w:p>
        </w:tc>
        <w:tc>
          <w:tcPr>
            <w:tcW w:w="2319" w:type="dxa"/>
          </w:tcPr>
          <w:p w:rsidR="00026275" w:rsidRPr="00335B97" w:rsidRDefault="00026275" w:rsidP="00D73E9E">
            <w:pPr>
              <w:spacing w:after="200"/>
              <w:rPr>
                <w:rFonts w:cstheme="minorHAnsi"/>
              </w:rPr>
            </w:pPr>
            <w:r w:rsidRPr="00335B97">
              <w:rPr>
                <w:rFonts w:cstheme="minorHAnsi"/>
              </w:rPr>
              <w:t>0.929 (.2797)</w:t>
            </w:r>
          </w:p>
        </w:tc>
        <w:tc>
          <w:tcPr>
            <w:tcW w:w="2321" w:type="dxa"/>
          </w:tcPr>
          <w:p w:rsidR="00026275" w:rsidRPr="00335B97" w:rsidRDefault="00026275" w:rsidP="00D73E9E">
            <w:pPr>
              <w:spacing w:after="200"/>
              <w:rPr>
                <w:rFonts w:cstheme="minorHAnsi"/>
              </w:rPr>
            </w:pPr>
            <w:r w:rsidRPr="00335B97">
              <w:rPr>
                <w:rFonts w:cstheme="minorHAnsi"/>
              </w:rPr>
              <w:t>0.925 (.2490)</w:t>
            </w:r>
          </w:p>
        </w:tc>
      </w:tr>
      <w:tr w:rsidR="00026275" w:rsidRPr="00335B97" w:rsidTr="00776F45">
        <w:tc>
          <w:tcPr>
            <w:tcW w:w="2321" w:type="dxa"/>
            <w:hideMark/>
          </w:tcPr>
          <w:p w:rsidR="00026275" w:rsidRPr="00335B97" w:rsidRDefault="00026275" w:rsidP="00D73E9E">
            <w:pPr>
              <w:spacing w:after="200"/>
              <w:rPr>
                <w:rFonts w:cstheme="minorHAnsi"/>
              </w:rPr>
            </w:pPr>
            <w:r w:rsidRPr="00335B97">
              <w:rPr>
                <w:rFonts w:cstheme="minorHAnsi"/>
              </w:rPr>
              <w:object w:dxaOrig="324" w:dyaOrig="384" w14:anchorId="5F129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8.3pt" o:ole="">
                  <v:imagedata r:id="rId6" o:title=""/>
                </v:shape>
                <o:OLEObject Type="Embed" ProgID="Equation.DSMT4" ShapeID="_x0000_i1025" DrawAspect="Content" ObjectID="_1592128002" r:id="rId7"/>
              </w:object>
            </w:r>
            <w:r w:rsidRPr="00335B97">
              <w:rPr>
                <w:rFonts w:cstheme="minorHAnsi"/>
              </w:rPr>
              <w:t xml:space="preserve"> </w:t>
            </w:r>
          </w:p>
        </w:tc>
        <w:tc>
          <w:tcPr>
            <w:tcW w:w="2319" w:type="dxa"/>
          </w:tcPr>
          <w:p w:rsidR="00026275" w:rsidRPr="00335B97" w:rsidRDefault="00026275" w:rsidP="00D73E9E">
            <w:pPr>
              <w:spacing w:after="200"/>
              <w:rPr>
                <w:rFonts w:cstheme="minorHAnsi"/>
              </w:rPr>
            </w:pPr>
            <w:r w:rsidRPr="00335B97">
              <w:rPr>
                <w:rFonts w:cstheme="minorHAnsi"/>
              </w:rPr>
              <w:t>0.037 (.0042)</w:t>
            </w:r>
          </w:p>
        </w:tc>
        <w:tc>
          <w:tcPr>
            <w:tcW w:w="2319" w:type="dxa"/>
          </w:tcPr>
          <w:p w:rsidR="00026275" w:rsidRPr="00335B97" w:rsidRDefault="00026275" w:rsidP="00D73E9E">
            <w:pPr>
              <w:spacing w:after="200"/>
              <w:rPr>
                <w:rFonts w:cstheme="minorHAnsi"/>
              </w:rPr>
            </w:pPr>
            <w:r w:rsidRPr="00335B97">
              <w:rPr>
                <w:rFonts w:cstheme="minorHAnsi"/>
              </w:rPr>
              <w:t>0.058 (.0045)</w:t>
            </w:r>
          </w:p>
        </w:tc>
        <w:tc>
          <w:tcPr>
            <w:tcW w:w="2321" w:type="dxa"/>
          </w:tcPr>
          <w:p w:rsidR="00026275" w:rsidRPr="00335B97" w:rsidRDefault="00026275" w:rsidP="00D73E9E">
            <w:pPr>
              <w:spacing w:after="200"/>
              <w:rPr>
                <w:rFonts w:cstheme="minorHAnsi"/>
              </w:rPr>
            </w:pPr>
            <w:r w:rsidRPr="00335B97">
              <w:rPr>
                <w:rFonts w:cstheme="minorHAnsi"/>
              </w:rPr>
              <w:t>0.127 (.0081)</w:t>
            </w:r>
          </w:p>
        </w:tc>
      </w:tr>
      <w:tr w:rsidR="00026275" w:rsidRPr="00335B97" w:rsidTr="00776F45">
        <w:tc>
          <w:tcPr>
            <w:tcW w:w="2321" w:type="dxa"/>
            <w:tcBorders>
              <w:bottom w:val="single" w:sz="4" w:space="0" w:color="auto"/>
            </w:tcBorders>
            <w:hideMark/>
          </w:tcPr>
          <w:p w:rsidR="00026275" w:rsidRPr="00335B97" w:rsidRDefault="00026275" w:rsidP="00D73E9E">
            <w:pPr>
              <w:spacing w:after="200"/>
              <w:rPr>
                <w:rFonts w:cstheme="minorHAnsi"/>
              </w:rPr>
            </w:pPr>
            <w:r w:rsidRPr="00335B97">
              <w:rPr>
                <w:rFonts w:cstheme="minorHAnsi"/>
                <w:position w:val="-12"/>
              </w:rPr>
              <w:object w:dxaOrig="380" w:dyaOrig="380" w14:anchorId="6644FA96">
                <v:shape id="_x0000_i1026" type="#_x0000_t75" style="width:18.9pt;height:18.9pt" o:ole="">
                  <v:imagedata r:id="rId8" o:title=""/>
                </v:shape>
                <o:OLEObject Type="Embed" ProgID="Equation.DSMT4" ShapeID="_x0000_i1026" DrawAspect="Content" ObjectID="_1592128003" r:id="rId9"/>
              </w:object>
            </w:r>
          </w:p>
        </w:tc>
        <w:tc>
          <w:tcPr>
            <w:tcW w:w="2319" w:type="dxa"/>
            <w:tcBorders>
              <w:bottom w:val="single" w:sz="4" w:space="0" w:color="auto"/>
            </w:tcBorders>
          </w:tcPr>
          <w:p w:rsidR="00026275" w:rsidRPr="00335B97" w:rsidRDefault="00026275" w:rsidP="00D73E9E">
            <w:pPr>
              <w:spacing w:after="200"/>
              <w:rPr>
                <w:rFonts w:cstheme="minorHAnsi"/>
              </w:rPr>
            </w:pPr>
            <w:r w:rsidRPr="00335B97">
              <w:rPr>
                <w:rFonts w:cstheme="minorHAnsi"/>
              </w:rPr>
              <w:t>0.551 (.2095)</w:t>
            </w:r>
          </w:p>
        </w:tc>
        <w:tc>
          <w:tcPr>
            <w:tcW w:w="2319" w:type="dxa"/>
            <w:tcBorders>
              <w:bottom w:val="single" w:sz="4" w:space="0" w:color="auto"/>
            </w:tcBorders>
          </w:tcPr>
          <w:p w:rsidR="00026275" w:rsidRPr="00335B97" w:rsidRDefault="00026275" w:rsidP="00D73E9E">
            <w:pPr>
              <w:spacing w:after="200"/>
              <w:rPr>
                <w:rFonts w:cstheme="minorHAnsi"/>
              </w:rPr>
            </w:pPr>
            <w:r w:rsidRPr="00335B97">
              <w:rPr>
                <w:rFonts w:cstheme="minorHAnsi"/>
              </w:rPr>
              <w:t>0.477 (.1422)</w:t>
            </w:r>
          </w:p>
        </w:tc>
        <w:tc>
          <w:tcPr>
            <w:tcW w:w="2321" w:type="dxa"/>
            <w:tcBorders>
              <w:bottom w:val="single" w:sz="4" w:space="0" w:color="auto"/>
            </w:tcBorders>
          </w:tcPr>
          <w:p w:rsidR="00026275" w:rsidRPr="00335B97" w:rsidRDefault="00026275" w:rsidP="00D73E9E">
            <w:pPr>
              <w:spacing w:after="200"/>
              <w:rPr>
                <w:rFonts w:cstheme="minorHAnsi"/>
              </w:rPr>
            </w:pPr>
            <w:r w:rsidRPr="00335B97">
              <w:rPr>
                <w:rFonts w:cstheme="minorHAnsi"/>
              </w:rPr>
              <w:t>0.405 (.1172)</w:t>
            </w:r>
          </w:p>
        </w:tc>
      </w:tr>
    </w:tbl>
    <w:p w:rsidR="00026275" w:rsidRPr="00026275" w:rsidRDefault="00026275" w:rsidP="00026275">
      <w:pPr>
        <w:rPr>
          <w:rFonts w:cstheme="minorHAnsi"/>
          <w:lang w:val="en-US"/>
        </w:rPr>
      </w:pPr>
      <w:r w:rsidRPr="00026275">
        <w:rPr>
          <w:rFonts w:cstheme="minorHAnsi"/>
          <w:lang w:val="en-US"/>
        </w:rPr>
        <w:t>All parameter estimates are significant (p&lt;.05). Difference in year trends between de Heer and Luiten is nonsignificant, p=0.40</w:t>
      </w:r>
    </w:p>
    <w:p w:rsidR="00C01066" w:rsidRPr="00C01066" w:rsidRDefault="00C01066" w:rsidP="00C01066">
      <w:pPr>
        <w:rPr>
          <w:rFonts w:cstheme="minorHAnsi"/>
          <w:lang w:val="en-US"/>
        </w:rPr>
      </w:pPr>
    </w:p>
    <w:p w:rsidR="00026275" w:rsidRDefault="00026275" w:rsidP="00C01066">
      <w:pPr>
        <w:rPr>
          <w:rFonts w:cstheme="minorHAnsi"/>
          <w:lang w:val="en-US"/>
        </w:rPr>
      </w:pPr>
    </w:p>
    <w:p w:rsidR="00813041" w:rsidRDefault="00C01066" w:rsidP="00C01066">
      <w:pPr>
        <w:rPr>
          <w:rFonts w:cstheme="minorHAnsi"/>
          <w:lang w:val="en-US"/>
        </w:rPr>
      </w:pPr>
      <w:r w:rsidRPr="00C01066">
        <w:rPr>
          <w:rFonts w:cstheme="minorHAnsi"/>
          <w:lang w:val="en-US"/>
        </w:rPr>
        <w:t>The reg</w:t>
      </w:r>
      <w:r w:rsidR="002516FD">
        <w:rPr>
          <w:rFonts w:cstheme="minorHAnsi"/>
          <w:lang w:val="en-US"/>
        </w:rPr>
        <w:t>ression coefficient of -0.054 for</w:t>
      </w:r>
      <w:r w:rsidRPr="00C01066">
        <w:rPr>
          <w:rFonts w:cstheme="minorHAnsi"/>
          <w:lang w:val="en-US"/>
        </w:rPr>
        <w:t xml:space="preserve"> year for the combined data translates approximately to 0.73 perce</w:t>
      </w:r>
      <w:r w:rsidR="00813041">
        <w:rPr>
          <w:rFonts w:cstheme="minorHAnsi"/>
          <w:lang w:val="en-US"/>
        </w:rPr>
        <w:t>nt point less response per year. This support</w:t>
      </w:r>
      <w:r w:rsidR="00070617">
        <w:rPr>
          <w:rFonts w:cstheme="minorHAnsi"/>
          <w:lang w:val="en-US"/>
        </w:rPr>
        <w:t>s</w:t>
      </w:r>
      <w:r w:rsidR="00813041">
        <w:rPr>
          <w:rFonts w:cstheme="minorHAnsi"/>
          <w:lang w:val="en-US"/>
        </w:rPr>
        <w:t xml:space="preserve"> the findings of </w:t>
      </w:r>
      <w:proofErr w:type="spellStart"/>
      <w:r w:rsidR="00813041">
        <w:rPr>
          <w:rFonts w:cstheme="minorHAnsi"/>
          <w:lang w:val="en-US"/>
        </w:rPr>
        <w:t>Beullens</w:t>
      </w:r>
      <w:proofErr w:type="spellEnd"/>
      <w:r w:rsidR="00813041">
        <w:rPr>
          <w:rFonts w:cstheme="minorHAnsi"/>
          <w:lang w:val="en-US"/>
        </w:rPr>
        <w:t xml:space="preserve"> et al (2018), who report negative effects on response rates of 1 to 1.5 percentage points between the </w:t>
      </w:r>
      <w:r w:rsidR="00070617">
        <w:rPr>
          <w:rFonts w:cstheme="minorHAnsi"/>
          <w:lang w:val="en-US"/>
        </w:rPr>
        <w:t>successive</w:t>
      </w:r>
      <w:r w:rsidR="00813041">
        <w:rPr>
          <w:rFonts w:cstheme="minorHAnsi"/>
          <w:lang w:val="en-US"/>
        </w:rPr>
        <w:t xml:space="preserve"> rounds of the European Social Survey</w:t>
      </w:r>
      <w:r w:rsidR="00070617">
        <w:rPr>
          <w:rFonts w:cstheme="minorHAnsi"/>
          <w:lang w:val="en-US"/>
        </w:rPr>
        <w:t xml:space="preserve">, which are conducted every </w:t>
      </w:r>
      <w:r w:rsidR="00070617" w:rsidRPr="00070617">
        <w:rPr>
          <w:rFonts w:cstheme="minorHAnsi"/>
          <w:i/>
          <w:lang w:val="en-US"/>
        </w:rPr>
        <w:t>two</w:t>
      </w:r>
      <w:r w:rsidR="00070617">
        <w:rPr>
          <w:rFonts w:cstheme="minorHAnsi"/>
          <w:lang w:val="en-US"/>
        </w:rPr>
        <w:t xml:space="preserve"> years. </w:t>
      </w:r>
    </w:p>
    <w:p w:rsidR="00C01066" w:rsidRPr="00C01066" w:rsidRDefault="00813041" w:rsidP="00C01066">
      <w:pPr>
        <w:rPr>
          <w:rFonts w:cstheme="minorHAnsi"/>
          <w:lang w:val="en-US"/>
        </w:rPr>
      </w:pPr>
      <w:r>
        <w:rPr>
          <w:rFonts w:cstheme="minorHAnsi"/>
          <w:lang w:val="en-US"/>
        </w:rPr>
        <w:t>As expected,</w:t>
      </w:r>
      <w:r w:rsidR="00C01066" w:rsidRPr="00C01066">
        <w:rPr>
          <w:rFonts w:cstheme="minorHAnsi"/>
          <w:lang w:val="en-US"/>
        </w:rPr>
        <w:t xml:space="preserve"> the overall response is higher when a survey is mandatory. The regression coefficient for mandatory of 0.925 </w:t>
      </w:r>
      <w:r>
        <w:rPr>
          <w:rFonts w:cstheme="minorHAnsi"/>
          <w:lang w:val="en-US"/>
        </w:rPr>
        <w:t xml:space="preserve">is significant and </w:t>
      </w:r>
      <w:r w:rsidR="00C01066" w:rsidRPr="00C01066">
        <w:rPr>
          <w:rFonts w:cstheme="minorHAnsi"/>
          <w:lang w:val="en-US"/>
        </w:rPr>
        <w:t xml:space="preserve">translates to approximately 11.4 percent point more responses for mandatory surveys. </w:t>
      </w:r>
      <w:r w:rsidR="00696F1D">
        <w:rPr>
          <w:rFonts w:cstheme="minorHAnsi"/>
          <w:lang w:val="en-US"/>
        </w:rPr>
        <w:t xml:space="preserve">There was no interaction between the variables mandatory and year (p=.88). This indicates that there is no difference in trends in declining response between mandatory and voluntary surveys.  </w:t>
      </w:r>
      <w:r>
        <w:rPr>
          <w:rFonts w:cstheme="minorHAnsi"/>
          <w:lang w:val="en-US"/>
        </w:rPr>
        <w:t>Finally</w:t>
      </w:r>
      <w:r w:rsidR="00C01066" w:rsidRPr="00C01066">
        <w:rPr>
          <w:rFonts w:cstheme="minorHAnsi"/>
          <w:lang w:val="en-US"/>
        </w:rPr>
        <w:t>, the variance across countries (</w:t>
      </w:r>
      <w:r w:rsidR="00C01066" w:rsidRPr="00335B97">
        <w:rPr>
          <w:rFonts w:cstheme="minorHAnsi"/>
          <w:position w:val="-12"/>
        </w:rPr>
        <w:object w:dxaOrig="380" w:dyaOrig="380" w14:anchorId="1AA7CD91">
          <v:shape id="_x0000_i1027" type="#_x0000_t75" style="width:18.9pt;height:18.9pt" o:ole="">
            <v:imagedata r:id="rId10" o:title=""/>
          </v:shape>
          <o:OLEObject Type="Embed" ProgID="Equation.DSMT4" ShapeID="_x0000_i1027" DrawAspect="Content" ObjectID="_1592128004" r:id="rId11"/>
        </w:object>
      </w:r>
      <w:r w:rsidR="00C01066" w:rsidRPr="00C01066">
        <w:rPr>
          <w:rFonts w:cstheme="minorHAnsi"/>
          <w:lang w:val="en-US"/>
        </w:rPr>
        <w:t xml:space="preserve">) is considerable, indicating large overall differences between countries in response rate. </w:t>
      </w:r>
      <w:r w:rsidR="00696F1D">
        <w:rPr>
          <w:rFonts w:cstheme="minorHAnsi"/>
          <w:lang w:val="en-US"/>
        </w:rPr>
        <w:t xml:space="preserve"> </w:t>
      </w:r>
    </w:p>
    <w:p w:rsidR="00C01066" w:rsidRPr="002D3B74" w:rsidRDefault="00C01066" w:rsidP="00C01066">
      <w:pPr>
        <w:rPr>
          <w:rFonts w:asciiTheme="majorHAnsi" w:hAnsiTheme="majorHAnsi" w:cstheme="majorHAnsi"/>
          <w:lang w:val="en-US"/>
        </w:rPr>
      </w:pPr>
    </w:p>
    <w:p w:rsidR="00C01066" w:rsidRPr="002D3B74" w:rsidRDefault="00C01066" w:rsidP="00C01066">
      <w:pPr>
        <w:rPr>
          <w:rFonts w:asciiTheme="majorHAnsi" w:hAnsiTheme="majorHAnsi" w:cstheme="majorHAnsi"/>
          <w:lang w:val="en-US"/>
        </w:rPr>
      </w:pPr>
    </w:p>
    <w:p w:rsidR="00624FD5" w:rsidRPr="00DF6302" w:rsidRDefault="00624FD5" w:rsidP="00624FD5">
      <w:pPr>
        <w:rPr>
          <w:b/>
          <w:lang w:val="en-GB"/>
        </w:rPr>
      </w:pPr>
      <w:r w:rsidRPr="00DF6302">
        <w:rPr>
          <w:rFonts w:asciiTheme="majorHAnsi" w:hAnsiTheme="majorHAnsi" w:cstheme="majorHAnsi"/>
          <w:b/>
          <w:lang w:val="en-US"/>
        </w:rPr>
        <w:t xml:space="preserve">3.2. </w:t>
      </w:r>
      <w:r w:rsidR="00DF6302" w:rsidRPr="00DF6302">
        <w:rPr>
          <w:rFonts w:asciiTheme="majorHAnsi" w:hAnsiTheme="majorHAnsi" w:cstheme="majorHAnsi"/>
          <w:b/>
          <w:lang w:val="en-US"/>
        </w:rPr>
        <w:t xml:space="preserve">Trends in </w:t>
      </w:r>
      <w:r w:rsidRPr="00DF6302">
        <w:rPr>
          <w:rFonts w:asciiTheme="majorHAnsi" w:hAnsiTheme="majorHAnsi" w:cstheme="majorHAnsi"/>
          <w:b/>
          <w:lang w:val="en-GB"/>
        </w:rPr>
        <w:t>Noncontact</w:t>
      </w:r>
      <w:r w:rsidR="00DF6302" w:rsidRPr="00DF6302">
        <w:rPr>
          <w:rFonts w:asciiTheme="majorHAnsi" w:hAnsiTheme="majorHAnsi" w:cstheme="majorHAnsi"/>
          <w:b/>
          <w:lang w:val="en-GB"/>
        </w:rPr>
        <w:t xml:space="preserve"> rates </w:t>
      </w:r>
    </w:p>
    <w:p w:rsidR="00421010" w:rsidRDefault="002D3B74" w:rsidP="002D3B74">
      <w:pPr>
        <w:rPr>
          <w:lang w:val="en-GB"/>
        </w:rPr>
      </w:pPr>
      <w:r>
        <w:rPr>
          <w:lang w:val="en-GB"/>
        </w:rPr>
        <w:t xml:space="preserve">To get a more detailed picture of </w:t>
      </w:r>
      <w:r w:rsidR="002516FD">
        <w:rPr>
          <w:lang w:val="en-GB"/>
        </w:rPr>
        <w:t xml:space="preserve">the </w:t>
      </w:r>
      <w:r>
        <w:rPr>
          <w:lang w:val="en-GB"/>
        </w:rPr>
        <w:t xml:space="preserve">trends in survey nonresponse over time, it is necessary to go into the major component of nonresponse: noncontacts and refusals. </w:t>
      </w:r>
      <w:r w:rsidR="000E6A0D">
        <w:rPr>
          <w:lang w:val="en-GB"/>
        </w:rPr>
        <w:t xml:space="preserve"> </w:t>
      </w:r>
      <w:r w:rsidRPr="002D3B74">
        <w:rPr>
          <w:rFonts w:cstheme="minorHAnsi"/>
          <w:lang w:val="en-US"/>
        </w:rPr>
        <w:t xml:space="preserve">For noncontacts, the trend already discerned in de Leeuw &amp; de Heer (2002) continues when new data are added: noncontacts are steadily increasing over the years. </w:t>
      </w:r>
      <w:r w:rsidR="002516FD">
        <w:rPr>
          <w:rFonts w:cstheme="minorHAnsi"/>
          <w:lang w:val="en-US"/>
        </w:rPr>
        <w:t>The results are summarized in Table 2; a</w:t>
      </w:r>
      <w:r w:rsidR="000E6A0D">
        <w:rPr>
          <w:lang w:val="en-GB"/>
        </w:rPr>
        <w:t xml:space="preserve">gain the results for the early data (1980-1997), the added data (1997-2015) and the total period are presented. </w:t>
      </w:r>
    </w:p>
    <w:p w:rsidR="00DF6302" w:rsidRDefault="00DF6302" w:rsidP="002D3B74">
      <w:pPr>
        <w:rPr>
          <w:lang w:val="en-GB"/>
        </w:rPr>
      </w:pPr>
    </w:p>
    <w:p w:rsidR="00DF6302" w:rsidRDefault="00DF6302" w:rsidP="00DF6302">
      <w:pPr>
        <w:rPr>
          <w:rFonts w:cstheme="minorHAnsi"/>
          <w:lang w:val="en-US"/>
        </w:rPr>
      </w:pPr>
      <w:r>
        <w:rPr>
          <w:rFonts w:cstheme="minorHAnsi"/>
          <w:lang w:val="en-US"/>
        </w:rPr>
        <w:t xml:space="preserve">Again the parameter </w:t>
      </w:r>
      <w:r w:rsidRPr="002D3B74">
        <w:rPr>
          <w:rFonts w:cstheme="minorHAnsi"/>
          <w:lang w:val="en-US"/>
        </w:rPr>
        <w:t>estimates for the variable year are significant and positive in all data sets</w:t>
      </w:r>
      <w:r>
        <w:rPr>
          <w:rFonts w:cstheme="minorHAnsi"/>
          <w:lang w:val="en-US"/>
        </w:rPr>
        <w:t>. Furthermore, t</w:t>
      </w:r>
      <w:r w:rsidRPr="002D3B74">
        <w:rPr>
          <w:rFonts w:cstheme="minorHAnsi"/>
          <w:lang w:val="en-US"/>
        </w:rPr>
        <w:t xml:space="preserve">he difference in year trends </w:t>
      </w:r>
      <w:r>
        <w:rPr>
          <w:rFonts w:cstheme="minorHAnsi"/>
          <w:lang w:val="en-US"/>
        </w:rPr>
        <w:t xml:space="preserve">between the two separate data sets </w:t>
      </w:r>
      <w:r w:rsidRPr="002D3B74">
        <w:rPr>
          <w:rFonts w:cstheme="minorHAnsi"/>
          <w:lang w:val="en-US"/>
        </w:rPr>
        <w:t xml:space="preserve">is nonsignificant. This means </w:t>
      </w:r>
      <w:r>
        <w:rPr>
          <w:rFonts w:cstheme="minorHAnsi"/>
          <w:lang w:val="en-US"/>
        </w:rPr>
        <w:t xml:space="preserve">that also for noncontacts </w:t>
      </w:r>
      <w:r w:rsidRPr="002D3B74">
        <w:rPr>
          <w:rFonts w:cstheme="minorHAnsi"/>
          <w:lang w:val="en-US"/>
        </w:rPr>
        <w:t xml:space="preserve">the early (1980-1997) trend </w:t>
      </w:r>
      <w:r>
        <w:rPr>
          <w:rFonts w:cstheme="minorHAnsi"/>
          <w:lang w:val="en-US"/>
        </w:rPr>
        <w:t>shown</w:t>
      </w:r>
      <w:r w:rsidRPr="002D3B74">
        <w:rPr>
          <w:rFonts w:cstheme="minorHAnsi"/>
          <w:lang w:val="en-US"/>
        </w:rPr>
        <w:t xml:space="preserve"> in the de Heer data is continuing after 1997: </w:t>
      </w:r>
      <w:r>
        <w:rPr>
          <w:rFonts w:cstheme="minorHAnsi"/>
          <w:lang w:val="en-US"/>
        </w:rPr>
        <w:t xml:space="preserve">for the Labour Force Survey </w:t>
      </w:r>
      <w:r w:rsidRPr="002D3B74">
        <w:rPr>
          <w:rFonts w:cstheme="minorHAnsi"/>
          <w:lang w:val="en-US"/>
        </w:rPr>
        <w:t xml:space="preserve">noncontact is </w:t>
      </w:r>
      <w:r>
        <w:rPr>
          <w:rFonts w:cstheme="minorHAnsi"/>
          <w:lang w:val="en-US"/>
        </w:rPr>
        <w:t xml:space="preserve">still </w:t>
      </w:r>
      <w:r w:rsidRPr="002D3B74">
        <w:rPr>
          <w:rFonts w:cstheme="minorHAnsi"/>
          <w:lang w:val="en-US"/>
        </w:rPr>
        <w:t>steadily increasing over the years. The regression coefficient of 0.036 for year for the combined data translates to approximately 0.29 percent point</w:t>
      </w:r>
      <w:r>
        <w:rPr>
          <w:rFonts w:cstheme="minorHAnsi"/>
          <w:lang w:val="en-US"/>
        </w:rPr>
        <w:t>s</w:t>
      </w:r>
      <w:r w:rsidRPr="002D3B74">
        <w:rPr>
          <w:rFonts w:cstheme="minorHAnsi"/>
          <w:lang w:val="en-US"/>
        </w:rPr>
        <w:t xml:space="preserve"> more noncontacts per year.</w:t>
      </w:r>
      <w:r>
        <w:rPr>
          <w:rFonts w:cstheme="minorHAnsi"/>
          <w:lang w:val="en-US"/>
        </w:rPr>
        <w:t xml:space="preserve"> This is different from the findings of </w:t>
      </w:r>
      <w:proofErr w:type="spellStart"/>
      <w:r>
        <w:rPr>
          <w:rFonts w:cstheme="minorHAnsi"/>
          <w:lang w:val="en-US"/>
        </w:rPr>
        <w:t>Beulens</w:t>
      </w:r>
      <w:proofErr w:type="spellEnd"/>
      <w:r>
        <w:rPr>
          <w:rFonts w:cstheme="minorHAnsi"/>
          <w:lang w:val="en-US"/>
        </w:rPr>
        <w:t>, et al (2018) for the European Social Survey, who report a decrease of noncontact over time and attribute this to an improvement of fieldwork efforts based on the experiences in the first round of the ESS (see also Stoop et al, 2010).</w:t>
      </w:r>
    </w:p>
    <w:p w:rsidR="00DF6302" w:rsidRDefault="00DF6302" w:rsidP="00DF6302">
      <w:pPr>
        <w:rPr>
          <w:rFonts w:cstheme="minorHAnsi"/>
          <w:lang w:val="en-US"/>
        </w:rPr>
      </w:pPr>
      <w:r>
        <w:rPr>
          <w:rFonts w:cstheme="minorHAnsi"/>
          <w:lang w:val="en-US"/>
        </w:rPr>
        <w:lastRenderedPageBreak/>
        <w:t>Not surprisingly, w</w:t>
      </w:r>
      <w:r w:rsidRPr="002D3B74">
        <w:rPr>
          <w:rFonts w:cstheme="minorHAnsi"/>
          <w:lang w:val="en-US"/>
        </w:rPr>
        <w:t xml:space="preserve">hether or not a survey is mandatory has no influence on the noncontact rate. The effect of the survey’s mandatory nature on the general response trends </w:t>
      </w:r>
      <w:r>
        <w:rPr>
          <w:rFonts w:cstheme="minorHAnsi"/>
          <w:lang w:val="en-US"/>
        </w:rPr>
        <w:t xml:space="preserve">as shown in our analysis (section 3.1.) </w:t>
      </w:r>
      <w:r w:rsidRPr="002D3B74">
        <w:rPr>
          <w:rFonts w:cstheme="minorHAnsi"/>
          <w:lang w:val="en-US"/>
        </w:rPr>
        <w:t>is not driven by changes in the noncontact rates.  A</w:t>
      </w:r>
      <w:r>
        <w:rPr>
          <w:rFonts w:cstheme="minorHAnsi"/>
          <w:lang w:val="en-US"/>
        </w:rPr>
        <w:t>lso for noncontacts</w:t>
      </w:r>
      <w:r w:rsidRPr="002D3B74">
        <w:rPr>
          <w:rFonts w:cstheme="minorHAnsi"/>
          <w:lang w:val="en-US"/>
        </w:rPr>
        <w:t xml:space="preserve"> the variance across countries (</w:t>
      </w:r>
      <w:r w:rsidRPr="00335B97">
        <w:rPr>
          <w:rFonts w:cstheme="minorHAnsi"/>
          <w:position w:val="-12"/>
        </w:rPr>
        <w:object w:dxaOrig="380" w:dyaOrig="380" w14:anchorId="67D8D527">
          <v:shape id="_x0000_i1028" type="#_x0000_t75" style="width:18.9pt;height:18.9pt" o:ole="">
            <v:imagedata r:id="rId10" o:title=""/>
          </v:shape>
          <o:OLEObject Type="Embed" ProgID="Equation.DSMT4" ShapeID="_x0000_i1028" DrawAspect="Content" ObjectID="_1592128005" r:id="rId12"/>
        </w:object>
      </w:r>
      <w:r w:rsidRPr="002D3B74">
        <w:rPr>
          <w:rFonts w:cstheme="minorHAnsi"/>
          <w:lang w:val="en-US"/>
        </w:rPr>
        <w:t xml:space="preserve">) is considerable, </w:t>
      </w:r>
      <w:r>
        <w:rPr>
          <w:rFonts w:cstheme="minorHAnsi"/>
          <w:lang w:val="en-US"/>
        </w:rPr>
        <w:t xml:space="preserve">again </w:t>
      </w:r>
      <w:r w:rsidRPr="002D3B74">
        <w:rPr>
          <w:rFonts w:cstheme="minorHAnsi"/>
          <w:lang w:val="en-US"/>
        </w:rPr>
        <w:t xml:space="preserve">indicating </w:t>
      </w:r>
      <w:r>
        <w:rPr>
          <w:rFonts w:cstheme="minorHAnsi"/>
          <w:lang w:val="en-US"/>
        </w:rPr>
        <w:t xml:space="preserve">clear </w:t>
      </w:r>
      <w:r w:rsidRPr="002D3B74">
        <w:rPr>
          <w:rFonts w:cstheme="minorHAnsi"/>
          <w:lang w:val="en-US"/>
        </w:rPr>
        <w:t xml:space="preserve">overall differences between countries in the noncontact rate. </w:t>
      </w:r>
    </w:p>
    <w:p w:rsidR="00DF6302" w:rsidRPr="00DF6302" w:rsidRDefault="00DF6302" w:rsidP="002D3B74">
      <w:pPr>
        <w:rPr>
          <w:lang w:val="en-US"/>
        </w:rPr>
      </w:pPr>
    </w:p>
    <w:p w:rsidR="00421010" w:rsidRDefault="00421010" w:rsidP="002D3B7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19"/>
        <w:gridCol w:w="2319"/>
        <w:gridCol w:w="2321"/>
      </w:tblGrid>
      <w:tr w:rsidR="00421010" w:rsidRPr="00335B97" w:rsidTr="00D73E9E">
        <w:tc>
          <w:tcPr>
            <w:tcW w:w="9289" w:type="dxa"/>
            <w:gridSpan w:val="4"/>
            <w:tcBorders>
              <w:top w:val="nil"/>
              <w:left w:val="nil"/>
              <w:bottom w:val="single" w:sz="4" w:space="0" w:color="auto"/>
              <w:right w:val="nil"/>
            </w:tcBorders>
            <w:hideMark/>
          </w:tcPr>
          <w:p w:rsidR="00421010" w:rsidRPr="00335B97" w:rsidRDefault="00421010" w:rsidP="00421010">
            <w:pPr>
              <w:spacing w:after="200"/>
              <w:rPr>
                <w:rFonts w:cstheme="minorHAnsi"/>
                <w:b/>
              </w:rPr>
            </w:pPr>
            <w:r w:rsidRPr="00335B97">
              <w:rPr>
                <w:rFonts w:cstheme="minorHAnsi"/>
                <w:b/>
                <w:lang w:val="fr-BE"/>
              </w:rPr>
              <w:t>Table</w:t>
            </w:r>
            <w:r>
              <w:rPr>
                <w:rFonts w:cstheme="minorHAnsi"/>
                <w:b/>
                <w:lang w:val="fr-BE"/>
              </w:rPr>
              <w:t xml:space="preserve"> </w:t>
            </w:r>
            <w:r w:rsidRPr="00335B97">
              <w:rPr>
                <w:rFonts w:cstheme="minorHAnsi"/>
                <w:b/>
                <w:lang w:val="fr-BE"/>
              </w:rPr>
              <w:t>2</w:t>
            </w:r>
            <w:r>
              <w:rPr>
                <w:rFonts w:cstheme="minorHAnsi"/>
                <w:b/>
                <w:lang w:val="fr-BE"/>
              </w:rPr>
              <w:t>.</w:t>
            </w:r>
            <w:r>
              <w:rPr>
                <w:rFonts w:cstheme="minorHAnsi"/>
                <w:lang w:val="fr-BE"/>
              </w:rPr>
              <w:t xml:space="preserve"> </w:t>
            </w:r>
            <w:proofErr w:type="spellStart"/>
            <w:r w:rsidRPr="00421010">
              <w:rPr>
                <w:rFonts w:cstheme="minorHAnsi"/>
                <w:lang w:val="fr-BE"/>
              </w:rPr>
              <w:t>Multilevel</w:t>
            </w:r>
            <w:proofErr w:type="spellEnd"/>
            <w:r w:rsidRPr="00421010">
              <w:rPr>
                <w:rFonts w:cstheme="minorHAnsi"/>
                <w:lang w:val="fr-BE"/>
              </w:rPr>
              <w:t xml:space="preserve"> </w:t>
            </w:r>
            <w:proofErr w:type="spellStart"/>
            <w:r w:rsidRPr="00421010">
              <w:rPr>
                <w:rFonts w:cstheme="minorHAnsi"/>
                <w:lang w:val="fr-BE"/>
              </w:rPr>
              <w:t>Regressions</w:t>
            </w:r>
            <w:proofErr w:type="spellEnd"/>
            <w:r w:rsidRPr="00421010">
              <w:rPr>
                <w:rFonts w:cstheme="minorHAnsi"/>
                <w:lang w:val="fr-BE"/>
              </w:rPr>
              <w:t xml:space="preserve"> on </w:t>
            </w:r>
            <w:proofErr w:type="spellStart"/>
            <w:r w:rsidRPr="00421010">
              <w:rPr>
                <w:rFonts w:cstheme="minorHAnsi"/>
                <w:lang w:val="fr-BE"/>
              </w:rPr>
              <w:t>Noncontact</w:t>
            </w:r>
            <w:proofErr w:type="spellEnd"/>
            <w:r w:rsidRPr="00421010">
              <w:rPr>
                <w:rFonts w:cstheme="minorHAnsi"/>
                <w:lang w:val="fr-BE"/>
              </w:rPr>
              <w:t xml:space="preserve"> </w:t>
            </w:r>
            <w:proofErr w:type="spellStart"/>
            <w:r w:rsidRPr="00421010">
              <w:rPr>
                <w:rFonts w:cstheme="minorHAnsi"/>
                <w:lang w:val="fr-BE"/>
              </w:rPr>
              <w:t>Logit</w:t>
            </w:r>
            <w:proofErr w:type="spellEnd"/>
            <w:r>
              <w:rPr>
                <w:rFonts w:cstheme="minorHAnsi"/>
                <w:lang w:val="fr-BE"/>
              </w:rPr>
              <w:t xml:space="preserve"> LFS.</w:t>
            </w:r>
            <w:r w:rsidRPr="00421010">
              <w:rPr>
                <w:rFonts w:cstheme="minorHAnsi"/>
                <w:lang w:val="fr-BE"/>
              </w:rPr>
              <w:t xml:space="preserve"> </w:t>
            </w:r>
            <w:proofErr w:type="spellStart"/>
            <w:r>
              <w:rPr>
                <w:rFonts w:cstheme="minorHAnsi"/>
              </w:rPr>
              <w:t>Estimates</w:t>
            </w:r>
            <w:proofErr w:type="spellEnd"/>
            <w:r>
              <w:rPr>
                <w:rFonts w:cstheme="minorHAnsi"/>
              </w:rPr>
              <w:t xml:space="preserve"> and (</w:t>
            </w:r>
            <w:proofErr w:type="spellStart"/>
            <w:r w:rsidRPr="00421010">
              <w:rPr>
                <w:rFonts w:cstheme="minorHAnsi"/>
              </w:rPr>
              <w:t>standar</w:t>
            </w:r>
            <w:proofErr w:type="spellEnd"/>
            <w:r w:rsidRPr="00421010">
              <w:rPr>
                <w:rFonts w:cstheme="minorHAnsi"/>
                <w:lang w:val="nl-NL"/>
              </w:rPr>
              <w:t xml:space="preserve">d </w:t>
            </w:r>
            <w:proofErr w:type="spellStart"/>
            <w:r w:rsidRPr="00421010">
              <w:rPr>
                <w:rFonts w:cstheme="minorHAnsi"/>
                <w:lang w:val="nl-NL"/>
              </w:rPr>
              <w:t>erro</w:t>
            </w:r>
            <w:r w:rsidRPr="00421010">
              <w:rPr>
                <w:rFonts w:cstheme="minorHAnsi"/>
              </w:rPr>
              <w:t>rs</w:t>
            </w:r>
            <w:proofErr w:type="spellEnd"/>
            <w:r w:rsidRPr="00421010">
              <w:rPr>
                <w:rFonts w:cstheme="minorHAnsi"/>
              </w:rPr>
              <w:t>)</w:t>
            </w:r>
          </w:p>
        </w:tc>
      </w:tr>
      <w:tr w:rsidR="00421010" w:rsidRPr="00335B97" w:rsidTr="00D73E9E">
        <w:tc>
          <w:tcPr>
            <w:tcW w:w="2322" w:type="dxa"/>
            <w:tcBorders>
              <w:top w:val="single" w:sz="4" w:space="0" w:color="auto"/>
              <w:bottom w:val="single" w:sz="4" w:space="0" w:color="auto"/>
            </w:tcBorders>
          </w:tcPr>
          <w:p w:rsidR="00421010" w:rsidRPr="00335B97" w:rsidRDefault="00421010" w:rsidP="00D73E9E">
            <w:pPr>
              <w:spacing w:after="200"/>
              <w:rPr>
                <w:rFonts w:cstheme="minorHAnsi"/>
              </w:rPr>
            </w:pPr>
          </w:p>
        </w:tc>
        <w:tc>
          <w:tcPr>
            <w:tcW w:w="2322" w:type="dxa"/>
            <w:tcBorders>
              <w:top w:val="single" w:sz="4" w:space="0" w:color="auto"/>
              <w:bottom w:val="single" w:sz="4" w:space="0" w:color="auto"/>
            </w:tcBorders>
          </w:tcPr>
          <w:p w:rsidR="00421010" w:rsidRPr="00335B97" w:rsidRDefault="00421010" w:rsidP="00D73E9E">
            <w:pPr>
              <w:spacing w:after="200"/>
              <w:rPr>
                <w:rFonts w:cstheme="minorHAnsi"/>
              </w:rPr>
            </w:pPr>
            <w:r w:rsidRPr="00335B97">
              <w:rPr>
                <w:rFonts w:cstheme="minorHAnsi"/>
              </w:rPr>
              <w:t>de Heer Data      1980-1997</w:t>
            </w:r>
          </w:p>
        </w:tc>
        <w:tc>
          <w:tcPr>
            <w:tcW w:w="2322" w:type="dxa"/>
            <w:tcBorders>
              <w:top w:val="single" w:sz="4" w:space="0" w:color="auto"/>
              <w:bottom w:val="single" w:sz="4" w:space="0" w:color="auto"/>
            </w:tcBorders>
          </w:tcPr>
          <w:p w:rsidR="00421010" w:rsidRPr="00335B97" w:rsidRDefault="00421010" w:rsidP="00D73E9E">
            <w:pPr>
              <w:spacing w:after="200"/>
              <w:rPr>
                <w:rFonts w:cstheme="minorHAnsi"/>
              </w:rPr>
            </w:pPr>
            <w:r w:rsidRPr="00335B97">
              <w:rPr>
                <w:rFonts w:cstheme="minorHAnsi"/>
              </w:rPr>
              <w:t>Luiten Data       1997-2015</w:t>
            </w:r>
          </w:p>
        </w:tc>
        <w:tc>
          <w:tcPr>
            <w:tcW w:w="2323" w:type="dxa"/>
            <w:tcBorders>
              <w:top w:val="single" w:sz="4" w:space="0" w:color="auto"/>
              <w:bottom w:val="single" w:sz="4" w:space="0" w:color="auto"/>
            </w:tcBorders>
          </w:tcPr>
          <w:p w:rsidR="00421010" w:rsidRPr="00335B97" w:rsidRDefault="00421010" w:rsidP="00D73E9E">
            <w:pPr>
              <w:spacing w:after="200"/>
              <w:rPr>
                <w:rFonts w:cstheme="minorHAnsi"/>
              </w:rPr>
            </w:pPr>
            <w:proofErr w:type="spellStart"/>
            <w:r w:rsidRPr="00335B97">
              <w:rPr>
                <w:rFonts w:cstheme="minorHAnsi"/>
              </w:rPr>
              <w:t>Combined</w:t>
            </w:r>
            <w:proofErr w:type="spellEnd"/>
            <w:r w:rsidRPr="00335B97">
              <w:rPr>
                <w:rFonts w:cstheme="minorHAnsi"/>
              </w:rPr>
              <w:t xml:space="preserve"> Data 1980-2015</w:t>
            </w:r>
          </w:p>
        </w:tc>
      </w:tr>
      <w:tr w:rsidR="00421010" w:rsidRPr="00335B97" w:rsidTr="00D73E9E">
        <w:tc>
          <w:tcPr>
            <w:tcW w:w="2322" w:type="dxa"/>
            <w:tcBorders>
              <w:top w:val="single" w:sz="4" w:space="0" w:color="auto"/>
            </w:tcBorders>
            <w:hideMark/>
          </w:tcPr>
          <w:p w:rsidR="00421010" w:rsidRPr="00335B97" w:rsidRDefault="00421010" w:rsidP="00D73E9E">
            <w:pPr>
              <w:spacing w:after="200"/>
              <w:rPr>
                <w:rFonts w:cstheme="minorHAnsi"/>
              </w:rPr>
            </w:pPr>
            <w:proofErr w:type="spellStart"/>
            <w:r w:rsidRPr="00335B97">
              <w:rPr>
                <w:rFonts w:cstheme="minorHAnsi"/>
              </w:rPr>
              <w:t>Intercept</w:t>
            </w:r>
            <w:proofErr w:type="spellEnd"/>
          </w:p>
        </w:tc>
        <w:tc>
          <w:tcPr>
            <w:tcW w:w="2322" w:type="dxa"/>
            <w:tcBorders>
              <w:top w:val="single" w:sz="4" w:space="0" w:color="auto"/>
            </w:tcBorders>
          </w:tcPr>
          <w:p w:rsidR="00421010" w:rsidRPr="00335B97" w:rsidRDefault="00421010" w:rsidP="00D73E9E">
            <w:pPr>
              <w:spacing w:after="200"/>
              <w:rPr>
                <w:rFonts w:cstheme="minorHAnsi"/>
              </w:rPr>
            </w:pPr>
            <w:r w:rsidRPr="00335B97">
              <w:rPr>
                <w:rFonts w:cstheme="minorHAnsi"/>
              </w:rPr>
              <w:t>-2.659 (.2111)</w:t>
            </w:r>
          </w:p>
        </w:tc>
        <w:tc>
          <w:tcPr>
            <w:tcW w:w="2322" w:type="dxa"/>
            <w:tcBorders>
              <w:top w:val="single" w:sz="4" w:space="0" w:color="auto"/>
            </w:tcBorders>
          </w:tcPr>
          <w:p w:rsidR="00421010" w:rsidRPr="00335B97" w:rsidRDefault="00421010" w:rsidP="00D73E9E">
            <w:pPr>
              <w:spacing w:after="200"/>
              <w:rPr>
                <w:rFonts w:cstheme="minorHAnsi"/>
              </w:rPr>
            </w:pPr>
            <w:r w:rsidRPr="00335B97">
              <w:rPr>
                <w:rFonts w:cstheme="minorHAnsi"/>
              </w:rPr>
              <w:t>-2.552 (.1977)</w:t>
            </w:r>
          </w:p>
        </w:tc>
        <w:tc>
          <w:tcPr>
            <w:tcW w:w="2323" w:type="dxa"/>
            <w:tcBorders>
              <w:top w:val="single" w:sz="4" w:space="0" w:color="auto"/>
            </w:tcBorders>
          </w:tcPr>
          <w:p w:rsidR="00421010" w:rsidRPr="00335B97" w:rsidRDefault="00421010" w:rsidP="00D73E9E">
            <w:pPr>
              <w:spacing w:after="200"/>
              <w:rPr>
                <w:rFonts w:cstheme="minorHAnsi"/>
              </w:rPr>
            </w:pPr>
            <w:r w:rsidRPr="00335B97">
              <w:rPr>
                <w:rFonts w:cstheme="minorHAnsi"/>
              </w:rPr>
              <w:t>-2.541(.1813)</w:t>
            </w:r>
          </w:p>
        </w:tc>
      </w:tr>
      <w:tr w:rsidR="00421010" w:rsidRPr="00335B97" w:rsidTr="00D73E9E">
        <w:tc>
          <w:tcPr>
            <w:tcW w:w="2322" w:type="dxa"/>
            <w:hideMark/>
          </w:tcPr>
          <w:p w:rsidR="00421010" w:rsidRPr="00335B97" w:rsidRDefault="00421010" w:rsidP="00D73E9E">
            <w:pPr>
              <w:spacing w:after="200"/>
              <w:rPr>
                <w:rFonts w:cstheme="minorHAnsi"/>
              </w:rPr>
            </w:pPr>
            <w:proofErr w:type="spellStart"/>
            <w:r w:rsidRPr="00335B97">
              <w:rPr>
                <w:rFonts w:cstheme="minorHAnsi"/>
              </w:rPr>
              <w:t>Year</w:t>
            </w:r>
            <w:proofErr w:type="spellEnd"/>
            <w:r w:rsidRPr="00335B97">
              <w:rPr>
                <w:rFonts w:cstheme="minorHAnsi"/>
              </w:rPr>
              <w:tab/>
            </w:r>
          </w:p>
        </w:tc>
        <w:tc>
          <w:tcPr>
            <w:tcW w:w="2322" w:type="dxa"/>
          </w:tcPr>
          <w:p w:rsidR="00421010" w:rsidRPr="00335B97" w:rsidRDefault="00421010" w:rsidP="00D73E9E">
            <w:pPr>
              <w:spacing w:after="200"/>
              <w:rPr>
                <w:rFonts w:cstheme="minorHAnsi"/>
              </w:rPr>
            </w:pPr>
            <w:r w:rsidRPr="00335B97">
              <w:rPr>
                <w:rFonts w:cstheme="minorHAnsi"/>
              </w:rPr>
              <w:t>0.036 (.0057)</w:t>
            </w:r>
          </w:p>
        </w:tc>
        <w:tc>
          <w:tcPr>
            <w:tcW w:w="2322" w:type="dxa"/>
          </w:tcPr>
          <w:p w:rsidR="00421010" w:rsidRPr="00335B97" w:rsidRDefault="00421010" w:rsidP="00D73E9E">
            <w:pPr>
              <w:spacing w:after="200"/>
              <w:rPr>
                <w:rFonts w:cstheme="minorHAnsi"/>
              </w:rPr>
            </w:pPr>
            <w:r w:rsidRPr="00335B97">
              <w:rPr>
                <w:rFonts w:cstheme="minorHAnsi"/>
              </w:rPr>
              <w:t>0.030 (.0034)</w:t>
            </w:r>
          </w:p>
        </w:tc>
        <w:tc>
          <w:tcPr>
            <w:tcW w:w="2323" w:type="dxa"/>
          </w:tcPr>
          <w:p w:rsidR="00421010" w:rsidRPr="00335B97" w:rsidRDefault="00421010" w:rsidP="00D73E9E">
            <w:pPr>
              <w:spacing w:after="200"/>
              <w:rPr>
                <w:rFonts w:cstheme="minorHAnsi"/>
              </w:rPr>
            </w:pPr>
            <w:r w:rsidRPr="00335B97">
              <w:rPr>
                <w:rFonts w:cstheme="minorHAnsi"/>
              </w:rPr>
              <w:t>0.036 (.0020)</w:t>
            </w:r>
          </w:p>
        </w:tc>
      </w:tr>
      <w:tr w:rsidR="00421010" w:rsidRPr="00335B97" w:rsidTr="00D73E9E">
        <w:tc>
          <w:tcPr>
            <w:tcW w:w="2322" w:type="dxa"/>
            <w:hideMark/>
          </w:tcPr>
          <w:p w:rsidR="00421010" w:rsidRPr="00335B97" w:rsidRDefault="00421010" w:rsidP="00D73E9E">
            <w:pPr>
              <w:spacing w:after="200"/>
              <w:rPr>
                <w:rFonts w:cstheme="minorHAnsi"/>
              </w:rPr>
            </w:pPr>
            <w:proofErr w:type="spellStart"/>
            <w:r w:rsidRPr="00335B97">
              <w:rPr>
                <w:rFonts w:cstheme="minorHAnsi"/>
              </w:rPr>
              <w:t>Mandatory</w:t>
            </w:r>
            <w:proofErr w:type="spellEnd"/>
          </w:p>
        </w:tc>
        <w:tc>
          <w:tcPr>
            <w:tcW w:w="2322" w:type="dxa"/>
          </w:tcPr>
          <w:p w:rsidR="00421010" w:rsidRPr="00335B97" w:rsidRDefault="00421010" w:rsidP="00D73E9E">
            <w:pPr>
              <w:spacing w:after="200"/>
              <w:rPr>
                <w:rFonts w:cstheme="minorHAnsi"/>
                <w:vertAlign w:val="superscript"/>
              </w:rPr>
            </w:pPr>
            <w:r w:rsidRPr="00335B97">
              <w:rPr>
                <w:rFonts w:cstheme="minorHAnsi"/>
              </w:rPr>
              <w:t>-0.112 (.3320</w:t>
            </w:r>
            <w:proofErr w:type="gramStart"/>
            <w:r w:rsidRPr="00335B97">
              <w:rPr>
                <w:rFonts w:cstheme="minorHAnsi"/>
              </w:rPr>
              <w:t>)</w:t>
            </w:r>
            <w:r w:rsidRPr="00335B97">
              <w:rPr>
                <w:rFonts w:cstheme="minorHAnsi"/>
                <w:vertAlign w:val="superscript"/>
              </w:rPr>
              <w:t>ns</w:t>
            </w:r>
            <w:proofErr w:type="gramEnd"/>
          </w:p>
        </w:tc>
        <w:tc>
          <w:tcPr>
            <w:tcW w:w="2322" w:type="dxa"/>
          </w:tcPr>
          <w:p w:rsidR="00421010" w:rsidRPr="00335B97" w:rsidRDefault="00421010" w:rsidP="00D73E9E">
            <w:pPr>
              <w:spacing w:after="200"/>
              <w:rPr>
                <w:rFonts w:cstheme="minorHAnsi"/>
                <w:vertAlign w:val="superscript"/>
              </w:rPr>
            </w:pPr>
            <w:r w:rsidRPr="00335B97">
              <w:rPr>
                <w:rFonts w:cstheme="minorHAnsi"/>
              </w:rPr>
              <w:t>-0.202 (.3115</w:t>
            </w:r>
            <w:proofErr w:type="gramStart"/>
            <w:r w:rsidRPr="00335B97">
              <w:rPr>
                <w:rFonts w:cstheme="minorHAnsi"/>
              </w:rPr>
              <w:t>)</w:t>
            </w:r>
            <w:r w:rsidRPr="00335B97">
              <w:rPr>
                <w:rFonts w:cstheme="minorHAnsi"/>
                <w:vertAlign w:val="superscript"/>
              </w:rPr>
              <w:t>ns</w:t>
            </w:r>
            <w:proofErr w:type="gramEnd"/>
          </w:p>
        </w:tc>
        <w:tc>
          <w:tcPr>
            <w:tcW w:w="2323" w:type="dxa"/>
          </w:tcPr>
          <w:p w:rsidR="00421010" w:rsidRPr="00335B97" w:rsidRDefault="00421010" w:rsidP="00D73E9E">
            <w:pPr>
              <w:spacing w:after="200"/>
              <w:rPr>
                <w:rFonts w:cstheme="minorHAnsi"/>
                <w:vertAlign w:val="superscript"/>
              </w:rPr>
            </w:pPr>
            <w:r w:rsidRPr="00335B97">
              <w:rPr>
                <w:rFonts w:cstheme="minorHAnsi"/>
              </w:rPr>
              <w:t>-0.262 (.2785</w:t>
            </w:r>
            <w:proofErr w:type="gramStart"/>
            <w:r w:rsidRPr="00335B97">
              <w:rPr>
                <w:rFonts w:cstheme="minorHAnsi"/>
              </w:rPr>
              <w:t>)</w:t>
            </w:r>
            <w:r w:rsidRPr="00335B97">
              <w:rPr>
                <w:rFonts w:cstheme="minorHAnsi"/>
                <w:vertAlign w:val="superscript"/>
              </w:rPr>
              <w:t>ns</w:t>
            </w:r>
            <w:proofErr w:type="gramEnd"/>
          </w:p>
        </w:tc>
      </w:tr>
      <w:tr w:rsidR="00421010" w:rsidRPr="00335B97" w:rsidTr="00D73E9E">
        <w:tc>
          <w:tcPr>
            <w:tcW w:w="2322" w:type="dxa"/>
            <w:hideMark/>
          </w:tcPr>
          <w:p w:rsidR="00421010" w:rsidRPr="00335B97" w:rsidRDefault="00421010" w:rsidP="00D73E9E">
            <w:pPr>
              <w:spacing w:after="200"/>
              <w:rPr>
                <w:rFonts w:cstheme="minorHAnsi"/>
              </w:rPr>
            </w:pPr>
            <w:r w:rsidRPr="00335B97">
              <w:rPr>
                <w:rFonts w:cstheme="minorHAnsi"/>
              </w:rPr>
              <w:object w:dxaOrig="324" w:dyaOrig="384" w14:anchorId="19C5F19D">
                <v:shape id="_x0000_i1029" type="#_x0000_t75" style="width:15.85pt;height:18.3pt" o:ole="">
                  <v:imagedata r:id="rId6" o:title=""/>
                </v:shape>
                <o:OLEObject Type="Embed" ProgID="Equation.DSMT4" ShapeID="_x0000_i1029" DrawAspect="Content" ObjectID="_1592128006" r:id="rId13"/>
              </w:object>
            </w:r>
            <w:r w:rsidRPr="00335B97">
              <w:rPr>
                <w:rFonts w:cstheme="minorHAnsi"/>
              </w:rPr>
              <w:t xml:space="preserve"> </w:t>
            </w:r>
          </w:p>
        </w:tc>
        <w:tc>
          <w:tcPr>
            <w:tcW w:w="2322" w:type="dxa"/>
          </w:tcPr>
          <w:p w:rsidR="00421010" w:rsidRPr="00335B97" w:rsidRDefault="00421010" w:rsidP="00D73E9E">
            <w:pPr>
              <w:spacing w:after="200"/>
              <w:rPr>
                <w:rFonts w:cstheme="minorHAnsi"/>
              </w:rPr>
            </w:pPr>
            <w:r w:rsidRPr="00335B97">
              <w:rPr>
                <w:rFonts w:cstheme="minorHAnsi"/>
              </w:rPr>
              <w:t>0.066 (.0084)</w:t>
            </w:r>
          </w:p>
        </w:tc>
        <w:tc>
          <w:tcPr>
            <w:tcW w:w="2322" w:type="dxa"/>
          </w:tcPr>
          <w:p w:rsidR="00421010" w:rsidRPr="00335B97" w:rsidRDefault="00421010" w:rsidP="00D73E9E">
            <w:pPr>
              <w:spacing w:after="200"/>
              <w:rPr>
                <w:rFonts w:cstheme="minorHAnsi"/>
              </w:rPr>
            </w:pPr>
            <w:r w:rsidRPr="00335B97">
              <w:rPr>
                <w:rFonts w:cstheme="minorHAnsi"/>
              </w:rPr>
              <w:t>0.069 (.0058)</w:t>
            </w:r>
          </w:p>
        </w:tc>
        <w:tc>
          <w:tcPr>
            <w:tcW w:w="2323" w:type="dxa"/>
          </w:tcPr>
          <w:p w:rsidR="00421010" w:rsidRPr="00335B97" w:rsidRDefault="00421010" w:rsidP="00D73E9E">
            <w:pPr>
              <w:spacing w:after="200"/>
              <w:rPr>
                <w:rFonts w:cstheme="minorHAnsi"/>
              </w:rPr>
            </w:pPr>
            <w:r w:rsidRPr="00335B97">
              <w:rPr>
                <w:rFonts w:cstheme="minorHAnsi"/>
              </w:rPr>
              <w:t>0.104 (.0072)</w:t>
            </w:r>
          </w:p>
        </w:tc>
      </w:tr>
      <w:tr w:rsidR="00421010" w:rsidRPr="00335B97" w:rsidTr="00D73E9E">
        <w:tc>
          <w:tcPr>
            <w:tcW w:w="2322" w:type="dxa"/>
            <w:tcBorders>
              <w:bottom w:val="single" w:sz="4" w:space="0" w:color="auto"/>
            </w:tcBorders>
            <w:hideMark/>
          </w:tcPr>
          <w:p w:rsidR="00421010" w:rsidRPr="00335B97" w:rsidRDefault="00421010" w:rsidP="00D73E9E">
            <w:pPr>
              <w:spacing w:after="200"/>
              <w:rPr>
                <w:rFonts w:cstheme="minorHAnsi"/>
              </w:rPr>
            </w:pPr>
            <w:r w:rsidRPr="00335B97">
              <w:rPr>
                <w:rFonts w:cstheme="minorHAnsi"/>
                <w:position w:val="-12"/>
              </w:rPr>
              <w:object w:dxaOrig="380" w:dyaOrig="380" w14:anchorId="59D2D60C">
                <v:shape id="_x0000_i1030" type="#_x0000_t75" style="width:18.9pt;height:18.9pt" o:ole="">
                  <v:imagedata r:id="rId14" o:title=""/>
                </v:shape>
                <o:OLEObject Type="Embed" ProgID="Equation.DSMT4" ShapeID="_x0000_i1030" DrawAspect="Content" ObjectID="_1592128007" r:id="rId15"/>
              </w:object>
            </w:r>
          </w:p>
        </w:tc>
        <w:tc>
          <w:tcPr>
            <w:tcW w:w="2322" w:type="dxa"/>
            <w:tcBorders>
              <w:bottom w:val="single" w:sz="4" w:space="0" w:color="auto"/>
            </w:tcBorders>
          </w:tcPr>
          <w:p w:rsidR="00421010" w:rsidRPr="00335B97" w:rsidRDefault="00421010" w:rsidP="00D73E9E">
            <w:pPr>
              <w:spacing w:after="200"/>
              <w:rPr>
                <w:rFonts w:cstheme="minorHAnsi"/>
              </w:rPr>
            </w:pPr>
            <w:r w:rsidRPr="00335B97">
              <w:rPr>
                <w:rFonts w:cstheme="minorHAnsi"/>
              </w:rPr>
              <w:t>0.384 (.1542)</w:t>
            </w:r>
          </w:p>
        </w:tc>
        <w:tc>
          <w:tcPr>
            <w:tcW w:w="2322" w:type="dxa"/>
            <w:tcBorders>
              <w:bottom w:val="single" w:sz="4" w:space="0" w:color="auto"/>
            </w:tcBorders>
          </w:tcPr>
          <w:p w:rsidR="00421010" w:rsidRPr="00335B97" w:rsidRDefault="00421010" w:rsidP="00D73E9E">
            <w:pPr>
              <w:spacing w:after="200"/>
              <w:rPr>
                <w:rFonts w:cstheme="minorHAnsi"/>
              </w:rPr>
            </w:pPr>
            <w:r w:rsidRPr="00335B97">
              <w:rPr>
                <w:rFonts w:cstheme="minorHAnsi"/>
              </w:rPr>
              <w:t>.525 (.1639)</w:t>
            </w:r>
          </w:p>
        </w:tc>
        <w:tc>
          <w:tcPr>
            <w:tcW w:w="2323" w:type="dxa"/>
            <w:tcBorders>
              <w:bottom w:val="single" w:sz="4" w:space="0" w:color="auto"/>
            </w:tcBorders>
          </w:tcPr>
          <w:p w:rsidR="00421010" w:rsidRPr="00335B97" w:rsidRDefault="00421010" w:rsidP="00D73E9E">
            <w:pPr>
              <w:spacing w:after="200"/>
              <w:rPr>
                <w:rFonts w:cstheme="minorHAnsi"/>
              </w:rPr>
            </w:pPr>
            <w:r w:rsidRPr="00335B97">
              <w:rPr>
                <w:rFonts w:cstheme="minorHAnsi"/>
              </w:rPr>
              <w:t>0.484 (.1423)</w:t>
            </w:r>
          </w:p>
        </w:tc>
      </w:tr>
    </w:tbl>
    <w:p w:rsidR="00421010" w:rsidRPr="00421010" w:rsidRDefault="00421010" w:rsidP="00421010">
      <w:pPr>
        <w:rPr>
          <w:rFonts w:cstheme="minorHAnsi"/>
          <w:lang w:val="en-US"/>
        </w:rPr>
      </w:pPr>
      <w:r w:rsidRPr="00421010">
        <w:rPr>
          <w:rFonts w:cstheme="minorHAnsi"/>
          <w:lang w:val="en-US"/>
        </w:rPr>
        <w:t xml:space="preserve">Parameter estimates are significant (p&lt;.05), unless indicated by </w:t>
      </w:r>
      <w:proofErr w:type="spellStart"/>
      <w:r w:rsidRPr="00421010">
        <w:rPr>
          <w:rFonts w:cstheme="minorHAnsi"/>
          <w:lang w:val="en-US"/>
        </w:rPr>
        <w:t>n.s</w:t>
      </w:r>
      <w:proofErr w:type="spellEnd"/>
      <w:r w:rsidRPr="00421010">
        <w:rPr>
          <w:rFonts w:cstheme="minorHAnsi"/>
          <w:lang w:val="en-US"/>
        </w:rPr>
        <w:t>. (nonsignificant) as is the case for the variable mandatory. Difference in year trends between de Heer and Luiten is nonsignificant, p=0.37</w:t>
      </w:r>
    </w:p>
    <w:p w:rsidR="00C23637" w:rsidRDefault="00C23637" w:rsidP="002D3B74">
      <w:pPr>
        <w:rPr>
          <w:lang w:val="en-US"/>
        </w:rPr>
      </w:pPr>
    </w:p>
    <w:p w:rsidR="00EC6B8F" w:rsidRDefault="002516FD" w:rsidP="002D3B74">
      <w:pPr>
        <w:rPr>
          <w:rFonts w:cstheme="minorHAnsi"/>
          <w:lang w:val="en-US"/>
        </w:rPr>
      </w:pPr>
      <w:r>
        <w:rPr>
          <w:rFonts w:cstheme="minorHAnsi"/>
          <w:lang w:val="en-US"/>
        </w:rPr>
        <w:t>Again the</w:t>
      </w:r>
      <w:r w:rsidR="00421010">
        <w:rPr>
          <w:rFonts w:cstheme="minorHAnsi"/>
          <w:lang w:val="en-US"/>
        </w:rPr>
        <w:t xml:space="preserve"> parameter </w:t>
      </w:r>
      <w:r w:rsidR="002D3B74" w:rsidRPr="002D3B74">
        <w:rPr>
          <w:rFonts w:cstheme="minorHAnsi"/>
          <w:lang w:val="en-US"/>
        </w:rPr>
        <w:t>estimates for the variable year are significant and positive in all data sets</w:t>
      </w:r>
      <w:r w:rsidR="00421010">
        <w:rPr>
          <w:rFonts w:cstheme="minorHAnsi"/>
          <w:lang w:val="en-US"/>
        </w:rPr>
        <w:t>. Furthermore, t</w:t>
      </w:r>
      <w:r w:rsidR="002D3B74" w:rsidRPr="002D3B74">
        <w:rPr>
          <w:rFonts w:cstheme="minorHAnsi"/>
          <w:lang w:val="en-US"/>
        </w:rPr>
        <w:t xml:space="preserve">he difference in year trends </w:t>
      </w:r>
      <w:r w:rsidR="00421010">
        <w:rPr>
          <w:rFonts w:cstheme="minorHAnsi"/>
          <w:lang w:val="en-US"/>
        </w:rPr>
        <w:t xml:space="preserve">between the two separate data sets </w:t>
      </w:r>
      <w:r w:rsidR="002D3B74" w:rsidRPr="002D3B74">
        <w:rPr>
          <w:rFonts w:cstheme="minorHAnsi"/>
          <w:lang w:val="en-US"/>
        </w:rPr>
        <w:t xml:space="preserve">is nonsignificant. This means </w:t>
      </w:r>
      <w:r w:rsidR="00421010">
        <w:rPr>
          <w:rFonts w:cstheme="minorHAnsi"/>
          <w:lang w:val="en-US"/>
        </w:rPr>
        <w:t xml:space="preserve">that also for noncontacts </w:t>
      </w:r>
      <w:r w:rsidR="002D3B74" w:rsidRPr="002D3B74">
        <w:rPr>
          <w:rFonts w:cstheme="minorHAnsi"/>
          <w:lang w:val="en-US"/>
        </w:rPr>
        <w:t xml:space="preserve">the early (1980-1997) </w:t>
      </w:r>
      <w:r w:rsidR="00421010" w:rsidRPr="002D3B74">
        <w:rPr>
          <w:rFonts w:cstheme="minorHAnsi"/>
          <w:lang w:val="en-US"/>
        </w:rPr>
        <w:t xml:space="preserve">trend </w:t>
      </w:r>
      <w:r w:rsidR="00421010">
        <w:rPr>
          <w:rFonts w:cstheme="minorHAnsi"/>
          <w:lang w:val="en-US"/>
        </w:rPr>
        <w:t>shown</w:t>
      </w:r>
      <w:r w:rsidR="002D3B74" w:rsidRPr="002D3B74">
        <w:rPr>
          <w:rFonts w:cstheme="minorHAnsi"/>
          <w:lang w:val="en-US"/>
        </w:rPr>
        <w:t xml:space="preserve"> in the de </w:t>
      </w:r>
      <w:proofErr w:type="spellStart"/>
      <w:r w:rsidR="002D3B74" w:rsidRPr="002D3B74">
        <w:rPr>
          <w:rFonts w:cstheme="minorHAnsi"/>
          <w:lang w:val="en-US"/>
        </w:rPr>
        <w:t>Heer</w:t>
      </w:r>
      <w:proofErr w:type="spellEnd"/>
      <w:r w:rsidR="002D3B74" w:rsidRPr="002D3B74">
        <w:rPr>
          <w:rFonts w:cstheme="minorHAnsi"/>
          <w:lang w:val="en-US"/>
        </w:rPr>
        <w:t xml:space="preserve"> data is continuing after 1997: </w:t>
      </w:r>
      <w:r w:rsidR="00EC6B8F">
        <w:rPr>
          <w:rFonts w:cstheme="minorHAnsi"/>
          <w:lang w:val="en-US"/>
        </w:rPr>
        <w:t xml:space="preserve">for the </w:t>
      </w:r>
      <w:proofErr w:type="spellStart"/>
      <w:r w:rsidR="00EC6B8F">
        <w:rPr>
          <w:rFonts w:cstheme="minorHAnsi"/>
          <w:lang w:val="en-US"/>
        </w:rPr>
        <w:t>Labour</w:t>
      </w:r>
      <w:proofErr w:type="spellEnd"/>
      <w:r w:rsidR="00EC6B8F">
        <w:rPr>
          <w:rFonts w:cstheme="minorHAnsi"/>
          <w:lang w:val="en-US"/>
        </w:rPr>
        <w:t xml:space="preserve"> Force Survey </w:t>
      </w:r>
      <w:r w:rsidR="002D3B74" w:rsidRPr="002D3B74">
        <w:rPr>
          <w:rFonts w:cstheme="minorHAnsi"/>
          <w:lang w:val="en-US"/>
        </w:rPr>
        <w:t xml:space="preserve">noncontact is </w:t>
      </w:r>
      <w:r w:rsidR="00EC6B8F">
        <w:rPr>
          <w:rFonts w:cstheme="minorHAnsi"/>
          <w:lang w:val="en-US"/>
        </w:rPr>
        <w:t xml:space="preserve">still </w:t>
      </w:r>
      <w:r w:rsidR="002D3B74" w:rsidRPr="002D3B74">
        <w:rPr>
          <w:rFonts w:cstheme="minorHAnsi"/>
          <w:lang w:val="en-US"/>
        </w:rPr>
        <w:t>steadily increasing over the years. The regression coefficient of 0.036 for year for the combined data translates to approximately 0.29 percent point</w:t>
      </w:r>
      <w:r w:rsidR="003531B6">
        <w:rPr>
          <w:rFonts w:cstheme="minorHAnsi"/>
          <w:lang w:val="en-US"/>
        </w:rPr>
        <w:t>s</w:t>
      </w:r>
      <w:r w:rsidR="002D3B74" w:rsidRPr="002D3B74">
        <w:rPr>
          <w:rFonts w:cstheme="minorHAnsi"/>
          <w:lang w:val="en-US"/>
        </w:rPr>
        <w:t xml:space="preserve"> more noncontacts per year.</w:t>
      </w:r>
      <w:r w:rsidR="002E1D2C">
        <w:rPr>
          <w:rFonts w:cstheme="minorHAnsi"/>
          <w:lang w:val="en-US"/>
        </w:rPr>
        <w:t xml:space="preserve"> </w:t>
      </w:r>
      <w:r w:rsidR="00EC6B8F">
        <w:rPr>
          <w:rFonts w:cstheme="minorHAnsi"/>
          <w:lang w:val="en-US"/>
        </w:rPr>
        <w:t xml:space="preserve">This is different from the findings </w:t>
      </w:r>
      <w:r w:rsidR="00DF6302">
        <w:rPr>
          <w:rFonts w:cstheme="minorHAnsi"/>
          <w:lang w:val="en-US"/>
        </w:rPr>
        <w:t xml:space="preserve">of </w:t>
      </w:r>
      <w:proofErr w:type="spellStart"/>
      <w:r w:rsidR="00EC6B8F">
        <w:rPr>
          <w:rFonts w:cstheme="minorHAnsi"/>
          <w:lang w:val="en-US"/>
        </w:rPr>
        <w:t>Beulens</w:t>
      </w:r>
      <w:proofErr w:type="spellEnd"/>
      <w:r w:rsidR="00EC6B8F">
        <w:rPr>
          <w:rFonts w:cstheme="minorHAnsi"/>
          <w:lang w:val="en-US"/>
        </w:rPr>
        <w:t>, et al (2018) for the European Social Survey</w:t>
      </w:r>
      <w:r w:rsidR="00DF6302">
        <w:rPr>
          <w:rFonts w:cstheme="minorHAnsi"/>
          <w:lang w:val="en-US"/>
        </w:rPr>
        <w:t>, who report</w:t>
      </w:r>
      <w:r w:rsidR="00EC6B8F">
        <w:rPr>
          <w:rFonts w:cstheme="minorHAnsi"/>
          <w:lang w:val="en-US"/>
        </w:rPr>
        <w:t xml:space="preserve"> a decrease of noncontact </w:t>
      </w:r>
      <w:r w:rsidR="00DF6302">
        <w:rPr>
          <w:rFonts w:cstheme="minorHAnsi"/>
          <w:lang w:val="en-US"/>
        </w:rPr>
        <w:t>over time and attribute this to an improvement of fieldwork efforts based on the experiences in the first round of the ESS (see also Stoop et al, 2010).</w:t>
      </w:r>
    </w:p>
    <w:p w:rsidR="002D3B74" w:rsidRDefault="00B40FF4" w:rsidP="002D3B74">
      <w:pPr>
        <w:rPr>
          <w:rFonts w:cstheme="minorHAnsi"/>
          <w:lang w:val="en-US"/>
        </w:rPr>
      </w:pPr>
      <w:r>
        <w:rPr>
          <w:rFonts w:cstheme="minorHAnsi"/>
          <w:lang w:val="en-US"/>
        </w:rPr>
        <w:t>Not surprisingly, w</w:t>
      </w:r>
      <w:r w:rsidR="002D3B74" w:rsidRPr="002D3B74">
        <w:rPr>
          <w:rFonts w:cstheme="minorHAnsi"/>
          <w:lang w:val="en-US"/>
        </w:rPr>
        <w:t xml:space="preserve">hether or not a survey is mandatory has no influence on the noncontact rate. The effect of the survey’s mandatory nature on the general response trends </w:t>
      </w:r>
      <w:r w:rsidR="00DF6302">
        <w:rPr>
          <w:rFonts w:cstheme="minorHAnsi"/>
          <w:lang w:val="en-US"/>
        </w:rPr>
        <w:t xml:space="preserve">as </w:t>
      </w:r>
      <w:r w:rsidR="00EC6B8F">
        <w:rPr>
          <w:rFonts w:cstheme="minorHAnsi"/>
          <w:lang w:val="en-US"/>
        </w:rPr>
        <w:t xml:space="preserve">shown in our analysis </w:t>
      </w:r>
      <w:r w:rsidR="002E1D2C">
        <w:rPr>
          <w:rFonts w:cstheme="minorHAnsi"/>
          <w:lang w:val="en-US"/>
        </w:rPr>
        <w:t xml:space="preserve">(section 3.1.) </w:t>
      </w:r>
      <w:r w:rsidR="002D3B74" w:rsidRPr="002D3B74">
        <w:rPr>
          <w:rFonts w:cstheme="minorHAnsi"/>
          <w:lang w:val="en-US"/>
        </w:rPr>
        <w:t>is not driven by changes in the noncontact rates.  A</w:t>
      </w:r>
      <w:r w:rsidR="00DF6302">
        <w:rPr>
          <w:rFonts w:cstheme="minorHAnsi"/>
          <w:lang w:val="en-US"/>
        </w:rPr>
        <w:t>lso for noncontacts</w:t>
      </w:r>
      <w:r w:rsidR="002D3B74" w:rsidRPr="002D3B74">
        <w:rPr>
          <w:rFonts w:cstheme="minorHAnsi"/>
          <w:lang w:val="en-US"/>
        </w:rPr>
        <w:t xml:space="preserve"> the variance across countries (</w:t>
      </w:r>
      <w:r w:rsidR="002D3B74" w:rsidRPr="00335B97">
        <w:rPr>
          <w:rFonts w:cstheme="minorHAnsi"/>
          <w:position w:val="-12"/>
        </w:rPr>
        <w:object w:dxaOrig="380" w:dyaOrig="380" w14:anchorId="5D388532">
          <v:shape id="_x0000_i1031" type="#_x0000_t75" style="width:18.9pt;height:18.9pt" o:ole="">
            <v:imagedata r:id="rId10" o:title=""/>
          </v:shape>
          <o:OLEObject Type="Embed" ProgID="Equation.DSMT4" ShapeID="_x0000_i1031" DrawAspect="Content" ObjectID="_1592128008" r:id="rId16"/>
        </w:object>
      </w:r>
      <w:r w:rsidR="002D3B74" w:rsidRPr="002D3B74">
        <w:rPr>
          <w:rFonts w:cstheme="minorHAnsi"/>
          <w:lang w:val="en-US"/>
        </w:rPr>
        <w:t xml:space="preserve">) is considerable, </w:t>
      </w:r>
      <w:r w:rsidR="002E1D2C">
        <w:rPr>
          <w:rFonts w:cstheme="minorHAnsi"/>
          <w:lang w:val="en-US"/>
        </w:rPr>
        <w:t xml:space="preserve">again </w:t>
      </w:r>
      <w:r w:rsidR="002D3B74" w:rsidRPr="002D3B74">
        <w:rPr>
          <w:rFonts w:cstheme="minorHAnsi"/>
          <w:lang w:val="en-US"/>
        </w:rPr>
        <w:t xml:space="preserve">indicating </w:t>
      </w:r>
      <w:r w:rsidR="00DF6302">
        <w:rPr>
          <w:rFonts w:cstheme="minorHAnsi"/>
          <w:lang w:val="en-US"/>
        </w:rPr>
        <w:t xml:space="preserve">clear </w:t>
      </w:r>
      <w:r w:rsidR="002D3B74" w:rsidRPr="002D3B74">
        <w:rPr>
          <w:rFonts w:cstheme="minorHAnsi"/>
          <w:lang w:val="en-US"/>
        </w:rPr>
        <w:t xml:space="preserve">overall differences between countries in the noncontact rate. </w:t>
      </w:r>
    </w:p>
    <w:p w:rsidR="00C23637" w:rsidRDefault="00C23637" w:rsidP="002D3B74">
      <w:pPr>
        <w:rPr>
          <w:rFonts w:cstheme="minorHAnsi"/>
          <w:lang w:val="en-US"/>
        </w:rPr>
      </w:pPr>
    </w:p>
    <w:p w:rsidR="00C23637" w:rsidRDefault="00C23637" w:rsidP="002D3B74">
      <w:pPr>
        <w:rPr>
          <w:rFonts w:cstheme="minorHAnsi"/>
          <w:lang w:val="en-US"/>
        </w:rPr>
      </w:pPr>
    </w:p>
    <w:p w:rsidR="00C23637" w:rsidRPr="00DF6302" w:rsidRDefault="00C23637" w:rsidP="002D3B74">
      <w:pPr>
        <w:rPr>
          <w:rFonts w:asciiTheme="majorHAnsi" w:hAnsiTheme="majorHAnsi" w:cstheme="majorHAnsi"/>
          <w:b/>
          <w:lang w:val="en-GB"/>
        </w:rPr>
      </w:pPr>
      <w:r w:rsidRPr="00DF6302">
        <w:rPr>
          <w:rFonts w:asciiTheme="majorHAnsi" w:hAnsiTheme="majorHAnsi" w:cstheme="majorHAnsi"/>
          <w:b/>
          <w:lang w:val="en-US"/>
        </w:rPr>
        <w:t>3.3</w:t>
      </w:r>
      <w:r w:rsidR="00624FD5" w:rsidRPr="00DF6302">
        <w:rPr>
          <w:rFonts w:asciiTheme="majorHAnsi" w:hAnsiTheme="majorHAnsi" w:cstheme="majorHAnsi"/>
          <w:b/>
          <w:lang w:val="en-US"/>
        </w:rPr>
        <w:t>.</w:t>
      </w:r>
      <w:r w:rsidRPr="00DF6302">
        <w:rPr>
          <w:rFonts w:asciiTheme="majorHAnsi" w:hAnsiTheme="majorHAnsi" w:cstheme="majorHAnsi"/>
          <w:b/>
          <w:lang w:val="en-US"/>
        </w:rPr>
        <w:t xml:space="preserve"> </w:t>
      </w:r>
      <w:r w:rsidR="00DF6302" w:rsidRPr="00DF6302">
        <w:rPr>
          <w:rFonts w:asciiTheme="majorHAnsi" w:hAnsiTheme="majorHAnsi" w:cstheme="majorHAnsi"/>
          <w:b/>
          <w:lang w:val="en-US"/>
        </w:rPr>
        <w:t>Trends in R</w:t>
      </w:r>
      <w:proofErr w:type="spellStart"/>
      <w:r w:rsidR="00DF6302" w:rsidRPr="00DF6302">
        <w:rPr>
          <w:rFonts w:asciiTheme="majorHAnsi" w:hAnsiTheme="majorHAnsi" w:cstheme="majorHAnsi"/>
          <w:b/>
          <w:lang w:val="en-GB"/>
        </w:rPr>
        <w:t>efusal</w:t>
      </w:r>
      <w:proofErr w:type="spellEnd"/>
      <w:r w:rsidR="00DF6302" w:rsidRPr="00DF6302">
        <w:rPr>
          <w:rFonts w:asciiTheme="majorHAnsi" w:hAnsiTheme="majorHAnsi" w:cstheme="majorHAnsi"/>
          <w:b/>
          <w:lang w:val="en-GB"/>
        </w:rPr>
        <w:t xml:space="preserve"> rates</w:t>
      </w:r>
    </w:p>
    <w:p w:rsidR="00DF6302" w:rsidRDefault="00DF6302" w:rsidP="002D3B74">
      <w:pPr>
        <w:rPr>
          <w:rFonts w:cstheme="minorHAnsi"/>
          <w:lang w:val="en-US"/>
        </w:rPr>
      </w:pPr>
    </w:p>
    <w:p w:rsidR="00ED0D17" w:rsidRPr="00ED0D17" w:rsidRDefault="00ED0D17" w:rsidP="00ED0D17">
      <w:pPr>
        <w:rPr>
          <w:rFonts w:cstheme="minorHAnsi"/>
          <w:lang w:val="en-US"/>
        </w:rPr>
      </w:pPr>
      <w:r w:rsidRPr="00ED0D17">
        <w:rPr>
          <w:rFonts w:cstheme="minorHAnsi"/>
          <w:lang w:val="en-US"/>
        </w:rPr>
        <w:t xml:space="preserve">For refusals, the trend also continues when new data are added: refusals are </w:t>
      </w:r>
      <w:r>
        <w:rPr>
          <w:rFonts w:cstheme="minorHAnsi"/>
          <w:lang w:val="en-US"/>
        </w:rPr>
        <w:t xml:space="preserve">also </w:t>
      </w:r>
      <w:r w:rsidRPr="00ED0D17">
        <w:rPr>
          <w:rFonts w:cstheme="minorHAnsi"/>
          <w:lang w:val="en-US"/>
        </w:rPr>
        <w:t>increasing over the years.  However</w:t>
      </w:r>
      <w:r>
        <w:rPr>
          <w:rFonts w:cstheme="minorHAnsi"/>
          <w:lang w:val="en-US"/>
        </w:rPr>
        <w:t xml:space="preserve"> here we see a remarkable </w:t>
      </w:r>
      <w:r w:rsidR="0064661F">
        <w:rPr>
          <w:rFonts w:cstheme="minorHAnsi"/>
          <w:lang w:val="en-US"/>
        </w:rPr>
        <w:t>difference with the previous analyses</w:t>
      </w:r>
      <w:r>
        <w:rPr>
          <w:rFonts w:cstheme="minorHAnsi"/>
          <w:lang w:val="en-US"/>
        </w:rPr>
        <w:t xml:space="preserve">, </w:t>
      </w:r>
      <w:r w:rsidRPr="00ED0D17">
        <w:rPr>
          <w:rFonts w:cstheme="minorHAnsi"/>
          <w:lang w:val="en-US"/>
        </w:rPr>
        <w:t xml:space="preserve"> the difference in year trends between the de Heer data and the Luiten data is significant (p=0.01). In the new data, the regression coefficient for year is </w:t>
      </w:r>
      <w:r>
        <w:rPr>
          <w:rFonts w:cstheme="minorHAnsi"/>
          <w:lang w:val="en-US"/>
        </w:rPr>
        <w:lastRenderedPageBreak/>
        <w:t xml:space="preserve">still </w:t>
      </w:r>
      <w:r w:rsidRPr="00ED0D17">
        <w:rPr>
          <w:rFonts w:cstheme="minorHAnsi"/>
          <w:lang w:val="en-US"/>
        </w:rPr>
        <w:t>positive and significant, but smaller than the corresponding coefficient in the old data (0.03 vs 0.06)</w:t>
      </w:r>
      <w:r>
        <w:rPr>
          <w:rFonts w:cstheme="minorHAnsi"/>
          <w:lang w:val="en-US"/>
        </w:rPr>
        <w:t>. This indicates that although refusals are increasing also in the new data, the</w:t>
      </w:r>
      <w:r w:rsidRPr="00ED0D17">
        <w:rPr>
          <w:rFonts w:cstheme="minorHAnsi"/>
          <w:lang w:val="en-US"/>
        </w:rPr>
        <w:t xml:space="preserve"> rate of increase of refusals has become smaller</w:t>
      </w:r>
      <w:r>
        <w:rPr>
          <w:rFonts w:cstheme="minorHAnsi"/>
          <w:lang w:val="en-US"/>
        </w:rPr>
        <w:t xml:space="preserve"> in the new </w:t>
      </w:r>
      <w:r w:rsidR="00D273FB">
        <w:rPr>
          <w:rFonts w:cstheme="minorHAnsi"/>
          <w:lang w:val="en-US"/>
        </w:rPr>
        <w:t>millennium</w:t>
      </w:r>
      <w:r w:rsidRPr="00ED0D17">
        <w:rPr>
          <w:rFonts w:cstheme="minorHAnsi"/>
          <w:lang w:val="en-US"/>
        </w:rPr>
        <w:t xml:space="preserve">. For the combined data, the regression coefficient of 0.046 translates to approximately 0.25 percent point </w:t>
      </w:r>
      <w:r w:rsidR="00D273FB">
        <w:rPr>
          <w:rFonts w:cstheme="minorHAnsi"/>
          <w:lang w:val="en-US"/>
        </w:rPr>
        <w:t xml:space="preserve">more refusals </w:t>
      </w:r>
      <w:r w:rsidRPr="00ED0D17">
        <w:rPr>
          <w:rFonts w:cstheme="minorHAnsi"/>
          <w:lang w:val="en-US"/>
        </w:rPr>
        <w:t>per year.</w:t>
      </w:r>
    </w:p>
    <w:p w:rsidR="00DF6302" w:rsidRDefault="00DF6302" w:rsidP="002D3B74">
      <w:pPr>
        <w:rPr>
          <w:rFonts w:cstheme="min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19"/>
        <w:gridCol w:w="2319"/>
        <w:gridCol w:w="2321"/>
      </w:tblGrid>
      <w:tr w:rsidR="00DF6302" w:rsidRPr="00335B97" w:rsidTr="00430B9A">
        <w:tc>
          <w:tcPr>
            <w:tcW w:w="9289" w:type="dxa"/>
            <w:gridSpan w:val="4"/>
            <w:tcBorders>
              <w:top w:val="nil"/>
              <w:left w:val="nil"/>
              <w:bottom w:val="single" w:sz="4" w:space="0" w:color="auto"/>
              <w:right w:val="nil"/>
            </w:tcBorders>
            <w:hideMark/>
          </w:tcPr>
          <w:p w:rsidR="00DF6302" w:rsidRPr="00335B97" w:rsidRDefault="00DF6302" w:rsidP="00DF6302">
            <w:pPr>
              <w:spacing w:after="200"/>
              <w:rPr>
                <w:rFonts w:cstheme="minorHAnsi"/>
                <w:b/>
              </w:rPr>
            </w:pPr>
            <w:r w:rsidRPr="00335B97">
              <w:rPr>
                <w:rFonts w:cstheme="minorHAnsi"/>
                <w:b/>
              </w:rPr>
              <w:t>Table 3</w:t>
            </w:r>
            <w:r>
              <w:rPr>
                <w:rFonts w:cstheme="minorHAnsi"/>
                <w:b/>
              </w:rPr>
              <w:t>.</w:t>
            </w:r>
            <w:r w:rsidRPr="00335B97">
              <w:rPr>
                <w:rFonts w:cstheme="minorHAnsi"/>
                <w:b/>
              </w:rPr>
              <w:t xml:space="preserve"> </w:t>
            </w:r>
            <w:proofErr w:type="spellStart"/>
            <w:r w:rsidRPr="00335B97">
              <w:rPr>
                <w:rFonts w:cstheme="minorHAnsi"/>
                <w:b/>
              </w:rPr>
              <w:t>Multilevel</w:t>
            </w:r>
            <w:proofErr w:type="spellEnd"/>
            <w:r w:rsidRPr="00335B97">
              <w:rPr>
                <w:rFonts w:cstheme="minorHAnsi"/>
                <w:b/>
              </w:rPr>
              <w:t xml:space="preserve"> </w:t>
            </w:r>
            <w:proofErr w:type="spellStart"/>
            <w:r w:rsidRPr="00335B97">
              <w:rPr>
                <w:rFonts w:cstheme="minorHAnsi"/>
                <w:b/>
              </w:rPr>
              <w:t>Regressions</w:t>
            </w:r>
            <w:proofErr w:type="spellEnd"/>
            <w:r w:rsidRPr="00335B97">
              <w:rPr>
                <w:rFonts w:cstheme="minorHAnsi"/>
                <w:b/>
              </w:rPr>
              <w:t xml:space="preserve"> on </w:t>
            </w:r>
            <w:proofErr w:type="spellStart"/>
            <w:r w:rsidRPr="00335B97">
              <w:rPr>
                <w:rFonts w:cstheme="minorHAnsi"/>
                <w:b/>
              </w:rPr>
              <w:t>Refusal</w:t>
            </w:r>
            <w:proofErr w:type="spellEnd"/>
            <w:r w:rsidRPr="00335B97">
              <w:rPr>
                <w:rFonts w:cstheme="minorHAnsi"/>
                <w:b/>
              </w:rPr>
              <w:t xml:space="preserve"> </w:t>
            </w:r>
            <w:proofErr w:type="spellStart"/>
            <w:r w:rsidRPr="00335B97">
              <w:rPr>
                <w:rFonts w:cstheme="minorHAnsi"/>
                <w:b/>
              </w:rPr>
              <w:t>Logit</w:t>
            </w:r>
            <w:proofErr w:type="spellEnd"/>
            <w:r>
              <w:rPr>
                <w:rFonts w:cstheme="minorHAnsi"/>
                <w:b/>
              </w:rPr>
              <w:t xml:space="preserve"> LFS</w:t>
            </w:r>
            <w:r w:rsidRPr="00335B97">
              <w:rPr>
                <w:rFonts w:cstheme="minorHAnsi"/>
                <w:b/>
              </w:rPr>
              <w:t xml:space="preserve">. </w:t>
            </w:r>
            <w:proofErr w:type="spellStart"/>
            <w:r w:rsidRPr="00335B97">
              <w:rPr>
                <w:rFonts w:cstheme="minorHAnsi"/>
                <w:b/>
              </w:rPr>
              <w:t>Estimates</w:t>
            </w:r>
            <w:proofErr w:type="spellEnd"/>
            <w:r w:rsidRPr="00335B97">
              <w:rPr>
                <w:rFonts w:cstheme="minorHAnsi"/>
                <w:b/>
              </w:rPr>
              <w:t xml:space="preserve"> and (standard </w:t>
            </w:r>
            <w:proofErr w:type="spellStart"/>
            <w:r w:rsidRPr="00335B97">
              <w:rPr>
                <w:rFonts w:cstheme="minorHAnsi"/>
                <w:b/>
              </w:rPr>
              <w:t>errors</w:t>
            </w:r>
            <w:proofErr w:type="spellEnd"/>
            <w:r w:rsidRPr="00335B97">
              <w:rPr>
                <w:rFonts w:cstheme="minorHAnsi"/>
                <w:b/>
              </w:rPr>
              <w:t>)</w:t>
            </w:r>
          </w:p>
        </w:tc>
      </w:tr>
      <w:tr w:rsidR="00DF6302" w:rsidRPr="00335B97" w:rsidTr="00430B9A">
        <w:tc>
          <w:tcPr>
            <w:tcW w:w="2322" w:type="dxa"/>
            <w:tcBorders>
              <w:top w:val="single" w:sz="4" w:space="0" w:color="auto"/>
              <w:bottom w:val="single" w:sz="4" w:space="0" w:color="auto"/>
            </w:tcBorders>
          </w:tcPr>
          <w:p w:rsidR="00DF6302" w:rsidRPr="00335B97" w:rsidRDefault="00DF6302" w:rsidP="00430B9A">
            <w:pPr>
              <w:spacing w:after="200"/>
              <w:rPr>
                <w:rFonts w:cstheme="minorHAnsi"/>
              </w:rPr>
            </w:pPr>
          </w:p>
        </w:tc>
        <w:tc>
          <w:tcPr>
            <w:tcW w:w="2322" w:type="dxa"/>
            <w:tcBorders>
              <w:top w:val="single" w:sz="4" w:space="0" w:color="auto"/>
              <w:bottom w:val="single" w:sz="4" w:space="0" w:color="auto"/>
            </w:tcBorders>
          </w:tcPr>
          <w:p w:rsidR="00DF6302" w:rsidRPr="00335B97" w:rsidRDefault="00DF6302" w:rsidP="00430B9A">
            <w:pPr>
              <w:spacing w:after="200"/>
              <w:rPr>
                <w:rFonts w:cstheme="minorHAnsi"/>
              </w:rPr>
            </w:pPr>
            <w:r w:rsidRPr="00335B97">
              <w:rPr>
                <w:rFonts w:cstheme="minorHAnsi"/>
              </w:rPr>
              <w:t>de Heer Data      1980-1997</w:t>
            </w:r>
          </w:p>
        </w:tc>
        <w:tc>
          <w:tcPr>
            <w:tcW w:w="2322" w:type="dxa"/>
            <w:tcBorders>
              <w:top w:val="single" w:sz="4" w:space="0" w:color="auto"/>
              <w:bottom w:val="single" w:sz="4" w:space="0" w:color="auto"/>
            </w:tcBorders>
          </w:tcPr>
          <w:p w:rsidR="00DF6302" w:rsidRPr="00335B97" w:rsidRDefault="00DF6302" w:rsidP="00430B9A">
            <w:pPr>
              <w:spacing w:after="200"/>
              <w:rPr>
                <w:rFonts w:cstheme="minorHAnsi"/>
              </w:rPr>
            </w:pPr>
            <w:r w:rsidRPr="00335B97">
              <w:rPr>
                <w:rFonts w:cstheme="minorHAnsi"/>
              </w:rPr>
              <w:t>Luiten Data       1997-2015</w:t>
            </w:r>
          </w:p>
        </w:tc>
        <w:tc>
          <w:tcPr>
            <w:tcW w:w="2323" w:type="dxa"/>
            <w:tcBorders>
              <w:top w:val="single" w:sz="4" w:space="0" w:color="auto"/>
              <w:bottom w:val="single" w:sz="4" w:space="0" w:color="auto"/>
            </w:tcBorders>
          </w:tcPr>
          <w:p w:rsidR="00DF6302" w:rsidRPr="00335B97" w:rsidRDefault="00DF6302" w:rsidP="00430B9A">
            <w:pPr>
              <w:spacing w:after="200"/>
              <w:rPr>
                <w:rFonts w:cstheme="minorHAnsi"/>
              </w:rPr>
            </w:pPr>
            <w:proofErr w:type="spellStart"/>
            <w:r w:rsidRPr="00335B97">
              <w:rPr>
                <w:rFonts w:cstheme="minorHAnsi"/>
              </w:rPr>
              <w:t>Combined</w:t>
            </w:r>
            <w:proofErr w:type="spellEnd"/>
            <w:r w:rsidRPr="00335B97">
              <w:rPr>
                <w:rFonts w:cstheme="minorHAnsi"/>
              </w:rPr>
              <w:t xml:space="preserve"> Data 1980-2015</w:t>
            </w:r>
          </w:p>
        </w:tc>
      </w:tr>
      <w:tr w:rsidR="00DF6302" w:rsidRPr="00335B97" w:rsidTr="00430B9A">
        <w:tc>
          <w:tcPr>
            <w:tcW w:w="2322" w:type="dxa"/>
            <w:tcBorders>
              <w:top w:val="single" w:sz="4" w:space="0" w:color="auto"/>
            </w:tcBorders>
            <w:hideMark/>
          </w:tcPr>
          <w:p w:rsidR="00DF6302" w:rsidRPr="00335B97" w:rsidRDefault="00DF6302" w:rsidP="00430B9A">
            <w:pPr>
              <w:spacing w:after="200"/>
              <w:rPr>
                <w:rFonts w:cstheme="minorHAnsi"/>
              </w:rPr>
            </w:pPr>
            <w:proofErr w:type="spellStart"/>
            <w:r w:rsidRPr="00335B97">
              <w:rPr>
                <w:rFonts w:cstheme="minorHAnsi"/>
              </w:rPr>
              <w:t>Intercept</w:t>
            </w:r>
            <w:proofErr w:type="spellEnd"/>
          </w:p>
        </w:tc>
        <w:tc>
          <w:tcPr>
            <w:tcW w:w="2322" w:type="dxa"/>
            <w:tcBorders>
              <w:top w:val="single" w:sz="4" w:space="0" w:color="auto"/>
            </w:tcBorders>
          </w:tcPr>
          <w:p w:rsidR="00DF6302" w:rsidRPr="00335B97" w:rsidRDefault="00DF6302" w:rsidP="00430B9A">
            <w:pPr>
              <w:spacing w:after="200"/>
              <w:rPr>
                <w:rFonts w:cstheme="minorHAnsi"/>
              </w:rPr>
            </w:pPr>
            <w:r w:rsidRPr="00335B97">
              <w:rPr>
                <w:rFonts w:cstheme="minorHAnsi"/>
              </w:rPr>
              <w:t>-2.446 (.2658)</w:t>
            </w:r>
          </w:p>
        </w:tc>
        <w:tc>
          <w:tcPr>
            <w:tcW w:w="2322" w:type="dxa"/>
            <w:tcBorders>
              <w:top w:val="single" w:sz="4" w:space="0" w:color="auto"/>
            </w:tcBorders>
          </w:tcPr>
          <w:p w:rsidR="00DF6302" w:rsidRPr="00335B97" w:rsidRDefault="00DF6302" w:rsidP="00430B9A">
            <w:pPr>
              <w:spacing w:after="200"/>
              <w:rPr>
                <w:rFonts w:cstheme="minorHAnsi"/>
              </w:rPr>
            </w:pPr>
            <w:r w:rsidRPr="00335B97">
              <w:rPr>
                <w:rFonts w:cstheme="minorHAnsi"/>
              </w:rPr>
              <w:t>-2.407 (.2000)</w:t>
            </w:r>
          </w:p>
        </w:tc>
        <w:tc>
          <w:tcPr>
            <w:tcW w:w="2323" w:type="dxa"/>
            <w:tcBorders>
              <w:top w:val="single" w:sz="4" w:space="0" w:color="auto"/>
            </w:tcBorders>
          </w:tcPr>
          <w:p w:rsidR="00DF6302" w:rsidRPr="00335B97" w:rsidRDefault="00DF6302" w:rsidP="00430B9A">
            <w:pPr>
              <w:spacing w:after="200"/>
              <w:rPr>
                <w:rFonts w:cstheme="minorHAnsi"/>
              </w:rPr>
            </w:pPr>
            <w:r w:rsidRPr="00335B97">
              <w:rPr>
                <w:rFonts w:cstheme="minorHAnsi"/>
              </w:rPr>
              <w:t>-2.502 (.1946)</w:t>
            </w:r>
          </w:p>
        </w:tc>
      </w:tr>
      <w:tr w:rsidR="00DF6302" w:rsidRPr="00335B97" w:rsidTr="00430B9A">
        <w:tc>
          <w:tcPr>
            <w:tcW w:w="2322" w:type="dxa"/>
            <w:hideMark/>
          </w:tcPr>
          <w:p w:rsidR="00DF6302" w:rsidRPr="00335B97" w:rsidRDefault="00DF6302" w:rsidP="00430B9A">
            <w:pPr>
              <w:spacing w:after="200"/>
              <w:rPr>
                <w:rFonts w:cstheme="minorHAnsi"/>
              </w:rPr>
            </w:pPr>
            <w:proofErr w:type="spellStart"/>
            <w:r w:rsidRPr="00335B97">
              <w:rPr>
                <w:rFonts w:cstheme="minorHAnsi"/>
              </w:rPr>
              <w:t>Year</w:t>
            </w:r>
            <w:proofErr w:type="spellEnd"/>
            <w:r w:rsidRPr="00335B97">
              <w:rPr>
                <w:rFonts w:cstheme="minorHAnsi"/>
              </w:rPr>
              <w:tab/>
            </w:r>
          </w:p>
        </w:tc>
        <w:tc>
          <w:tcPr>
            <w:tcW w:w="2322" w:type="dxa"/>
          </w:tcPr>
          <w:p w:rsidR="00DF6302" w:rsidRPr="00335B97" w:rsidRDefault="00DF6302" w:rsidP="00430B9A">
            <w:pPr>
              <w:spacing w:after="200"/>
              <w:rPr>
                <w:rFonts w:cstheme="minorHAnsi"/>
              </w:rPr>
            </w:pPr>
            <w:r w:rsidRPr="00335B97">
              <w:rPr>
                <w:rFonts w:cstheme="minorHAnsi"/>
              </w:rPr>
              <w:t>0.055 (.0077)</w:t>
            </w:r>
          </w:p>
        </w:tc>
        <w:tc>
          <w:tcPr>
            <w:tcW w:w="2322" w:type="dxa"/>
          </w:tcPr>
          <w:p w:rsidR="00DF6302" w:rsidRPr="00335B97" w:rsidRDefault="00DF6302" w:rsidP="00430B9A">
            <w:pPr>
              <w:spacing w:after="200"/>
              <w:rPr>
                <w:rFonts w:cstheme="minorHAnsi"/>
              </w:rPr>
            </w:pPr>
            <w:r w:rsidRPr="00335B97">
              <w:rPr>
                <w:rFonts w:cstheme="minorHAnsi"/>
              </w:rPr>
              <w:t>0.034 (.0033)</w:t>
            </w:r>
          </w:p>
        </w:tc>
        <w:tc>
          <w:tcPr>
            <w:tcW w:w="2323" w:type="dxa"/>
          </w:tcPr>
          <w:p w:rsidR="00DF6302" w:rsidRPr="00335B97" w:rsidRDefault="00DF6302" w:rsidP="00430B9A">
            <w:pPr>
              <w:spacing w:after="200"/>
              <w:rPr>
                <w:rFonts w:cstheme="minorHAnsi"/>
              </w:rPr>
            </w:pPr>
            <w:r w:rsidRPr="00335B97">
              <w:rPr>
                <w:rFonts w:cstheme="minorHAnsi"/>
              </w:rPr>
              <w:t>0.046 (.0022)</w:t>
            </w:r>
          </w:p>
        </w:tc>
      </w:tr>
      <w:tr w:rsidR="00DF6302" w:rsidRPr="00335B97" w:rsidTr="00430B9A">
        <w:tc>
          <w:tcPr>
            <w:tcW w:w="2322" w:type="dxa"/>
            <w:hideMark/>
          </w:tcPr>
          <w:p w:rsidR="00DF6302" w:rsidRPr="00335B97" w:rsidRDefault="00DF6302" w:rsidP="00430B9A">
            <w:pPr>
              <w:spacing w:after="200"/>
              <w:rPr>
                <w:rFonts w:cstheme="minorHAnsi"/>
              </w:rPr>
            </w:pPr>
            <w:proofErr w:type="spellStart"/>
            <w:r w:rsidRPr="00335B97">
              <w:rPr>
                <w:rFonts w:cstheme="minorHAnsi"/>
              </w:rPr>
              <w:t>Mandatory</w:t>
            </w:r>
            <w:proofErr w:type="spellEnd"/>
          </w:p>
        </w:tc>
        <w:tc>
          <w:tcPr>
            <w:tcW w:w="2322" w:type="dxa"/>
          </w:tcPr>
          <w:p w:rsidR="00DF6302" w:rsidRPr="00335B97" w:rsidRDefault="00DF6302" w:rsidP="00430B9A">
            <w:pPr>
              <w:spacing w:after="200"/>
              <w:rPr>
                <w:rFonts w:cstheme="minorHAnsi"/>
              </w:rPr>
            </w:pPr>
            <w:r w:rsidRPr="00335B97">
              <w:rPr>
                <w:rFonts w:cstheme="minorHAnsi"/>
              </w:rPr>
              <w:t>-1.421 (.4179)</w:t>
            </w:r>
          </w:p>
        </w:tc>
        <w:tc>
          <w:tcPr>
            <w:tcW w:w="2322" w:type="dxa"/>
          </w:tcPr>
          <w:p w:rsidR="00DF6302" w:rsidRPr="00335B97" w:rsidRDefault="00DF6302" w:rsidP="00430B9A">
            <w:pPr>
              <w:spacing w:after="200"/>
              <w:rPr>
                <w:rFonts w:cstheme="minorHAnsi"/>
              </w:rPr>
            </w:pPr>
            <w:r w:rsidRPr="00335B97">
              <w:rPr>
                <w:rFonts w:cstheme="minorHAnsi"/>
              </w:rPr>
              <w:t>-1.590 (.3153)</w:t>
            </w:r>
          </w:p>
        </w:tc>
        <w:tc>
          <w:tcPr>
            <w:tcW w:w="2323" w:type="dxa"/>
          </w:tcPr>
          <w:p w:rsidR="00DF6302" w:rsidRPr="00335B97" w:rsidRDefault="00DF6302" w:rsidP="00430B9A">
            <w:pPr>
              <w:spacing w:after="200"/>
              <w:rPr>
                <w:rFonts w:cstheme="minorHAnsi"/>
              </w:rPr>
            </w:pPr>
            <w:r w:rsidRPr="00335B97">
              <w:rPr>
                <w:rFonts w:cstheme="minorHAnsi"/>
              </w:rPr>
              <w:t>-1.582 (.2988)</w:t>
            </w:r>
          </w:p>
        </w:tc>
      </w:tr>
      <w:tr w:rsidR="00DF6302" w:rsidRPr="00335B97" w:rsidTr="00430B9A">
        <w:tc>
          <w:tcPr>
            <w:tcW w:w="2322" w:type="dxa"/>
            <w:hideMark/>
          </w:tcPr>
          <w:p w:rsidR="00DF6302" w:rsidRPr="00335B97" w:rsidRDefault="00DF6302" w:rsidP="00430B9A">
            <w:pPr>
              <w:spacing w:after="200"/>
              <w:rPr>
                <w:rFonts w:cstheme="minorHAnsi"/>
              </w:rPr>
            </w:pPr>
            <w:r w:rsidRPr="00335B97">
              <w:rPr>
                <w:rFonts w:cstheme="minorHAnsi"/>
              </w:rPr>
              <w:object w:dxaOrig="324" w:dyaOrig="384" w14:anchorId="601DDD56">
                <v:shape id="_x0000_i1032" type="#_x0000_t75" style="width:15.85pt;height:18.3pt" o:ole="">
                  <v:imagedata r:id="rId6" o:title=""/>
                </v:shape>
                <o:OLEObject Type="Embed" ProgID="Equation.DSMT4" ShapeID="_x0000_i1032" DrawAspect="Content" ObjectID="_1592128009" r:id="rId17"/>
              </w:object>
            </w:r>
            <w:r w:rsidRPr="00335B97">
              <w:rPr>
                <w:rFonts w:cstheme="minorHAnsi"/>
              </w:rPr>
              <w:t xml:space="preserve"> </w:t>
            </w:r>
          </w:p>
        </w:tc>
        <w:tc>
          <w:tcPr>
            <w:tcW w:w="2322" w:type="dxa"/>
          </w:tcPr>
          <w:p w:rsidR="00DF6302" w:rsidRPr="00335B97" w:rsidRDefault="00DF6302" w:rsidP="00430B9A">
            <w:pPr>
              <w:spacing w:after="200"/>
              <w:rPr>
                <w:rFonts w:cstheme="minorHAnsi"/>
              </w:rPr>
            </w:pPr>
            <w:r w:rsidRPr="00335B97">
              <w:rPr>
                <w:rFonts w:cstheme="minorHAnsi"/>
              </w:rPr>
              <w:t>0.120 (.0153)</w:t>
            </w:r>
          </w:p>
        </w:tc>
        <w:tc>
          <w:tcPr>
            <w:tcW w:w="2322" w:type="dxa"/>
          </w:tcPr>
          <w:p w:rsidR="00DF6302" w:rsidRPr="00335B97" w:rsidRDefault="00DF6302" w:rsidP="00430B9A">
            <w:pPr>
              <w:spacing w:after="200"/>
              <w:rPr>
                <w:rFonts w:cstheme="minorHAnsi"/>
              </w:rPr>
            </w:pPr>
            <w:r w:rsidRPr="00335B97">
              <w:rPr>
                <w:rFonts w:cstheme="minorHAnsi"/>
              </w:rPr>
              <w:t>0.068 (.0057)</w:t>
            </w:r>
          </w:p>
        </w:tc>
        <w:tc>
          <w:tcPr>
            <w:tcW w:w="2323" w:type="dxa"/>
          </w:tcPr>
          <w:p w:rsidR="00DF6302" w:rsidRPr="00335B97" w:rsidRDefault="00DF6302" w:rsidP="00430B9A">
            <w:pPr>
              <w:spacing w:after="200"/>
              <w:rPr>
                <w:rFonts w:cstheme="minorHAnsi"/>
              </w:rPr>
            </w:pPr>
            <w:r w:rsidRPr="00335B97">
              <w:rPr>
                <w:rFonts w:cstheme="minorHAnsi"/>
              </w:rPr>
              <w:t>0.123 (.0084)</w:t>
            </w:r>
          </w:p>
        </w:tc>
      </w:tr>
      <w:tr w:rsidR="00DF6302" w:rsidRPr="00335B97" w:rsidTr="00430B9A">
        <w:tc>
          <w:tcPr>
            <w:tcW w:w="2322" w:type="dxa"/>
            <w:tcBorders>
              <w:bottom w:val="single" w:sz="4" w:space="0" w:color="auto"/>
            </w:tcBorders>
            <w:hideMark/>
          </w:tcPr>
          <w:p w:rsidR="00DF6302" w:rsidRPr="00335B97" w:rsidRDefault="00DF6302" w:rsidP="00430B9A">
            <w:pPr>
              <w:spacing w:after="200"/>
              <w:rPr>
                <w:rFonts w:cstheme="minorHAnsi"/>
              </w:rPr>
            </w:pPr>
            <w:r w:rsidRPr="00335B97">
              <w:rPr>
                <w:rFonts w:cstheme="minorHAnsi"/>
                <w:position w:val="-12"/>
              </w:rPr>
              <w:object w:dxaOrig="380" w:dyaOrig="380" w14:anchorId="74C11BCF">
                <v:shape id="_x0000_i1033" type="#_x0000_t75" style="width:18.9pt;height:18.9pt" o:ole="">
                  <v:imagedata r:id="rId18" o:title=""/>
                </v:shape>
                <o:OLEObject Type="Embed" ProgID="Equation.DSMT4" ShapeID="_x0000_i1033" DrawAspect="Content" ObjectID="_1592128010" r:id="rId19"/>
              </w:object>
            </w:r>
          </w:p>
        </w:tc>
        <w:tc>
          <w:tcPr>
            <w:tcW w:w="2322" w:type="dxa"/>
            <w:tcBorders>
              <w:bottom w:val="single" w:sz="4" w:space="0" w:color="auto"/>
            </w:tcBorders>
          </w:tcPr>
          <w:p w:rsidR="00DF6302" w:rsidRPr="00335B97" w:rsidRDefault="00DF6302" w:rsidP="00430B9A">
            <w:pPr>
              <w:spacing w:after="200"/>
              <w:rPr>
                <w:rFonts w:cstheme="minorHAnsi"/>
              </w:rPr>
            </w:pPr>
            <w:r w:rsidRPr="00335B97">
              <w:rPr>
                <w:rFonts w:cstheme="minorHAnsi"/>
              </w:rPr>
              <w:t>0.605 (.2430)</w:t>
            </w:r>
          </w:p>
        </w:tc>
        <w:tc>
          <w:tcPr>
            <w:tcW w:w="2322" w:type="dxa"/>
            <w:tcBorders>
              <w:bottom w:val="single" w:sz="4" w:space="0" w:color="auto"/>
            </w:tcBorders>
          </w:tcPr>
          <w:p w:rsidR="00DF6302" w:rsidRPr="00335B97" w:rsidRDefault="00DF6302" w:rsidP="00430B9A">
            <w:pPr>
              <w:spacing w:after="200"/>
              <w:rPr>
                <w:rFonts w:cstheme="minorHAnsi"/>
              </w:rPr>
            </w:pPr>
            <w:r w:rsidRPr="00335B97">
              <w:rPr>
                <w:rFonts w:cstheme="minorHAnsi"/>
              </w:rPr>
              <w:t>0.538 (.1683)</w:t>
            </w:r>
          </w:p>
        </w:tc>
        <w:tc>
          <w:tcPr>
            <w:tcW w:w="2323" w:type="dxa"/>
            <w:tcBorders>
              <w:bottom w:val="single" w:sz="4" w:space="0" w:color="auto"/>
            </w:tcBorders>
          </w:tcPr>
          <w:p w:rsidR="00DF6302" w:rsidRPr="00335B97" w:rsidRDefault="00DF6302" w:rsidP="00430B9A">
            <w:pPr>
              <w:spacing w:after="200"/>
              <w:rPr>
                <w:rFonts w:cstheme="minorHAnsi"/>
              </w:rPr>
            </w:pPr>
            <w:r w:rsidRPr="00335B97">
              <w:rPr>
                <w:rFonts w:cstheme="minorHAnsi"/>
              </w:rPr>
              <w:t>0.557 (.1640)</w:t>
            </w:r>
          </w:p>
        </w:tc>
      </w:tr>
    </w:tbl>
    <w:p w:rsidR="00DF6302" w:rsidRPr="00DF6302" w:rsidRDefault="00DF6302" w:rsidP="00DF6302">
      <w:pPr>
        <w:rPr>
          <w:rFonts w:cstheme="minorHAnsi"/>
          <w:lang w:val="en-US"/>
        </w:rPr>
      </w:pPr>
      <w:r w:rsidRPr="00DF6302">
        <w:rPr>
          <w:rFonts w:cstheme="minorHAnsi"/>
          <w:lang w:val="en-US"/>
        </w:rPr>
        <w:t>All parameter estimates are significant (p&lt;.05). Difference in year trends between de Heer and Luiten is significant, p=0.01</w:t>
      </w:r>
    </w:p>
    <w:p w:rsidR="00DF6302" w:rsidRPr="002D3B74" w:rsidRDefault="00DF6302" w:rsidP="002D3B74">
      <w:pPr>
        <w:rPr>
          <w:rFonts w:cstheme="minorHAnsi"/>
          <w:lang w:val="en-US"/>
        </w:rPr>
      </w:pPr>
    </w:p>
    <w:p w:rsidR="00485843" w:rsidRDefault="0064661F" w:rsidP="002D3B74">
      <w:pPr>
        <w:rPr>
          <w:rFonts w:cstheme="minorHAnsi"/>
          <w:lang w:val="en-US"/>
        </w:rPr>
      </w:pPr>
      <w:r>
        <w:rPr>
          <w:rFonts w:cstheme="minorHAnsi"/>
          <w:lang w:val="en-US"/>
        </w:rPr>
        <w:t>Earlier</w:t>
      </w:r>
      <w:r w:rsidR="00034819">
        <w:rPr>
          <w:rFonts w:cstheme="minorHAnsi"/>
          <w:lang w:val="en-US"/>
        </w:rPr>
        <w:t>, we</w:t>
      </w:r>
      <w:r w:rsidR="00D273FB">
        <w:rPr>
          <w:rFonts w:cstheme="minorHAnsi"/>
          <w:lang w:val="en-US"/>
        </w:rPr>
        <w:t xml:space="preserve"> showed that when a survey is mandatory the overall response is higher, but –as expected- the mandatory or voluntary status of the LFS does not influence contractibility.  Table 3 shows that the refusal rate is indeed clearly lower when a survey is mandatory</w:t>
      </w:r>
      <w:r w:rsidR="00485843">
        <w:rPr>
          <w:rFonts w:cstheme="minorHAnsi"/>
          <w:lang w:val="en-US"/>
        </w:rPr>
        <w:t>. T</w:t>
      </w:r>
      <w:r w:rsidR="00485843" w:rsidRPr="00485843">
        <w:rPr>
          <w:rFonts w:cstheme="minorHAnsi"/>
          <w:lang w:val="en-US"/>
        </w:rPr>
        <w:t>he effect of the survey’s mandatory nature on the general response trends is therefore driven by changes in the refusal rate</w:t>
      </w:r>
      <w:r w:rsidR="000437FB">
        <w:rPr>
          <w:rFonts w:cstheme="minorHAnsi"/>
          <w:lang w:val="en-US"/>
        </w:rPr>
        <w:t xml:space="preserve"> and not by the noncontact rate</w:t>
      </w:r>
      <w:r w:rsidR="00485843" w:rsidRPr="00485843">
        <w:rPr>
          <w:rFonts w:cstheme="minorHAnsi"/>
          <w:lang w:val="en-US"/>
        </w:rPr>
        <w:t xml:space="preserve">. </w:t>
      </w:r>
    </w:p>
    <w:p w:rsidR="002D3B74" w:rsidRDefault="00485843" w:rsidP="002D3B74">
      <w:pPr>
        <w:rPr>
          <w:rFonts w:cstheme="minorHAnsi"/>
          <w:lang w:val="en-US"/>
        </w:rPr>
      </w:pPr>
      <w:r>
        <w:rPr>
          <w:rFonts w:cstheme="minorHAnsi"/>
          <w:lang w:val="en-US"/>
        </w:rPr>
        <w:t xml:space="preserve">The regression coefficient for the variable mandatory is significant, and its estimate of -1.582 translates to approximately 9.3 percent points less refusal if the survey is mandatory. </w:t>
      </w:r>
      <w:r w:rsidRPr="00485843">
        <w:rPr>
          <w:rFonts w:cstheme="minorHAnsi"/>
          <w:lang w:val="en-US"/>
        </w:rPr>
        <w:t xml:space="preserve"> </w:t>
      </w:r>
      <w:r>
        <w:rPr>
          <w:rFonts w:cstheme="minorHAnsi"/>
          <w:lang w:val="en-US"/>
        </w:rPr>
        <w:t xml:space="preserve"> </w:t>
      </w:r>
      <w:r w:rsidR="00F41C91">
        <w:rPr>
          <w:rFonts w:cstheme="minorHAnsi"/>
          <w:lang w:val="en-US"/>
        </w:rPr>
        <w:t>There was no interaction between the variables mandatory and year (p=.</w:t>
      </w:r>
      <w:r w:rsidR="00F41C91">
        <w:rPr>
          <w:rFonts w:cstheme="minorHAnsi"/>
          <w:lang w:val="en-US"/>
        </w:rPr>
        <w:t>75</w:t>
      </w:r>
      <w:r w:rsidR="00F41C91">
        <w:rPr>
          <w:rFonts w:cstheme="minorHAnsi"/>
          <w:lang w:val="en-US"/>
        </w:rPr>
        <w:t xml:space="preserve">). This indicates that there is no difference in trends in </w:t>
      </w:r>
      <w:r w:rsidR="00F41C91">
        <w:rPr>
          <w:rFonts w:cstheme="minorHAnsi"/>
          <w:lang w:val="en-US"/>
        </w:rPr>
        <w:t xml:space="preserve">increasing refusals </w:t>
      </w:r>
      <w:r w:rsidR="00F41C91">
        <w:rPr>
          <w:rFonts w:cstheme="minorHAnsi"/>
          <w:lang w:val="en-US"/>
        </w:rPr>
        <w:t>between mandatory and voluntary surveys.</w:t>
      </w:r>
      <w:r w:rsidR="00F41C91">
        <w:rPr>
          <w:rFonts w:cstheme="minorHAnsi"/>
          <w:lang w:val="en-US"/>
        </w:rPr>
        <w:t xml:space="preserve"> </w:t>
      </w:r>
      <w:r>
        <w:rPr>
          <w:rFonts w:cstheme="minorHAnsi"/>
          <w:lang w:val="en-US"/>
        </w:rPr>
        <w:t>Also for refusals</w:t>
      </w:r>
      <w:r w:rsidRPr="00485843">
        <w:rPr>
          <w:rFonts w:cstheme="minorHAnsi"/>
          <w:lang w:val="en-US"/>
        </w:rPr>
        <w:t xml:space="preserve">, </w:t>
      </w:r>
      <w:r>
        <w:rPr>
          <w:rFonts w:cstheme="minorHAnsi"/>
          <w:lang w:val="en-US"/>
        </w:rPr>
        <w:t xml:space="preserve">at country level </w:t>
      </w:r>
      <w:r w:rsidRPr="00485843">
        <w:rPr>
          <w:rFonts w:cstheme="minorHAnsi"/>
          <w:lang w:val="en-US"/>
        </w:rPr>
        <w:t xml:space="preserve">the variance across countries </w:t>
      </w:r>
      <w:r w:rsidRPr="002D3B74">
        <w:rPr>
          <w:rFonts w:cstheme="minorHAnsi"/>
          <w:lang w:val="en-US"/>
        </w:rPr>
        <w:t>(</w:t>
      </w:r>
      <w:r w:rsidRPr="00335B97">
        <w:rPr>
          <w:rFonts w:cstheme="minorHAnsi"/>
          <w:position w:val="-12"/>
        </w:rPr>
        <w:object w:dxaOrig="380" w:dyaOrig="380" w14:anchorId="4ADACD5F">
          <v:shape id="_x0000_i1034" type="#_x0000_t75" style="width:18.9pt;height:18.9pt" o:ole="">
            <v:imagedata r:id="rId10" o:title=""/>
          </v:shape>
          <o:OLEObject Type="Embed" ProgID="Equation.DSMT4" ShapeID="_x0000_i1034" DrawAspect="Content" ObjectID="_1592128011" r:id="rId20"/>
        </w:object>
      </w:r>
      <w:r w:rsidRPr="002D3B74">
        <w:rPr>
          <w:rFonts w:cstheme="minorHAnsi"/>
          <w:lang w:val="en-US"/>
        </w:rPr>
        <w:t>)</w:t>
      </w:r>
      <w:r>
        <w:rPr>
          <w:rFonts w:cstheme="minorHAnsi"/>
          <w:lang w:val="en-US"/>
        </w:rPr>
        <w:t xml:space="preserve"> </w:t>
      </w:r>
      <w:r w:rsidRPr="00485843">
        <w:rPr>
          <w:rFonts w:cstheme="minorHAnsi"/>
          <w:lang w:val="en-US"/>
        </w:rPr>
        <w:t>is considerable</w:t>
      </w:r>
      <w:r>
        <w:rPr>
          <w:rFonts w:cstheme="minorHAnsi"/>
          <w:lang w:val="en-US"/>
        </w:rPr>
        <w:t>; this indicates</w:t>
      </w:r>
      <w:r w:rsidRPr="00485843">
        <w:rPr>
          <w:rFonts w:cstheme="minorHAnsi"/>
          <w:lang w:val="en-US"/>
        </w:rPr>
        <w:t xml:space="preserve"> large overall differences between </w:t>
      </w:r>
      <w:r>
        <w:rPr>
          <w:rFonts w:cstheme="minorHAnsi"/>
          <w:lang w:val="en-US"/>
        </w:rPr>
        <w:t xml:space="preserve">the </w:t>
      </w:r>
      <w:r w:rsidRPr="00485843">
        <w:rPr>
          <w:rFonts w:cstheme="minorHAnsi"/>
          <w:lang w:val="en-US"/>
        </w:rPr>
        <w:t>countries in refusal rate</w:t>
      </w:r>
      <w:r>
        <w:rPr>
          <w:rFonts w:cstheme="minorHAnsi"/>
          <w:lang w:val="en-US"/>
        </w:rPr>
        <w:t>s</w:t>
      </w:r>
      <w:r w:rsidRPr="00485843">
        <w:rPr>
          <w:rFonts w:cstheme="minorHAnsi"/>
          <w:lang w:val="en-US"/>
        </w:rPr>
        <w:t xml:space="preserve">. </w:t>
      </w:r>
      <w:r w:rsidR="00D273FB">
        <w:rPr>
          <w:rFonts w:cstheme="minorHAnsi"/>
          <w:lang w:val="en-US"/>
        </w:rPr>
        <w:t xml:space="preserve"> </w:t>
      </w:r>
    </w:p>
    <w:p w:rsidR="000B7B67" w:rsidRDefault="000B7B67" w:rsidP="002D3B74">
      <w:pPr>
        <w:rPr>
          <w:rFonts w:cstheme="minorHAnsi"/>
          <w:lang w:val="en-US"/>
        </w:rPr>
      </w:pPr>
    </w:p>
    <w:p w:rsidR="006527E6" w:rsidRDefault="006527E6" w:rsidP="000B7B67">
      <w:pPr>
        <w:pStyle w:val="Heading2"/>
        <w:numPr>
          <w:ilvl w:val="0"/>
          <w:numId w:val="2"/>
        </w:numPr>
        <w:rPr>
          <w:lang w:val="en-GB"/>
        </w:rPr>
      </w:pPr>
      <w:r w:rsidRPr="00572FE4">
        <w:rPr>
          <w:lang w:val="en-GB"/>
        </w:rPr>
        <w:t>Conclusion/Discussion</w:t>
      </w:r>
    </w:p>
    <w:p w:rsidR="000B7B67" w:rsidRDefault="000B7B67" w:rsidP="000B7B67">
      <w:pPr>
        <w:rPr>
          <w:lang w:val="en-GB"/>
        </w:rPr>
      </w:pPr>
    </w:p>
    <w:p w:rsidR="00BF2083" w:rsidRDefault="000B7B67" w:rsidP="000B7B67">
      <w:pPr>
        <w:rPr>
          <w:rFonts w:cstheme="minorHAnsi"/>
          <w:lang w:val="en-US"/>
        </w:rPr>
      </w:pPr>
      <w:r>
        <w:rPr>
          <w:rFonts w:cstheme="minorHAnsi"/>
          <w:lang w:val="en-US"/>
        </w:rPr>
        <w:t>Adding new trend data to the</w:t>
      </w:r>
      <w:r w:rsidRPr="000B7B67">
        <w:rPr>
          <w:rFonts w:cstheme="minorHAnsi"/>
          <w:lang w:val="en-US"/>
        </w:rPr>
        <w:t xml:space="preserve"> data analyzed by the Leeuw and de Heer (2002) paints a somewhat pessimistic picture: nonresponse continues to increase over the years. The </w:t>
      </w:r>
      <w:r w:rsidR="00B373D1">
        <w:rPr>
          <w:rFonts w:cstheme="minorHAnsi"/>
          <w:lang w:val="en-US"/>
        </w:rPr>
        <w:t xml:space="preserve">early </w:t>
      </w:r>
      <w:r w:rsidRPr="000B7B67">
        <w:rPr>
          <w:rFonts w:cstheme="minorHAnsi"/>
          <w:lang w:val="en-US"/>
        </w:rPr>
        <w:t xml:space="preserve">trend for the period 1980-1997 continues in the years 1998 to 2015.  However, when we look at the nonresponse components separately, we find that noncontacts are steadily increasing, and that refusal rates seem to be increasing more slowly in the more recent data. </w:t>
      </w:r>
      <w:r w:rsidR="00A768D8">
        <w:rPr>
          <w:rFonts w:cstheme="minorHAnsi"/>
          <w:lang w:val="en-US"/>
        </w:rPr>
        <w:t>W</w:t>
      </w:r>
      <w:r w:rsidR="00A768D8" w:rsidRPr="000B7B67">
        <w:rPr>
          <w:rFonts w:cstheme="minorHAnsi"/>
          <w:lang w:val="en-US"/>
        </w:rPr>
        <w:t xml:space="preserve">hen we take a more detailed look at the trends for response, noncontacts, and refusals separately, we notice that whether or not a survey is mandatory influences response rates. This is driven by an effect on refusals: mandatory surveys have lower refusal rates. </w:t>
      </w:r>
      <w:r w:rsidR="0038459F">
        <w:rPr>
          <w:rFonts w:cstheme="minorHAnsi"/>
          <w:lang w:val="en-US"/>
        </w:rPr>
        <w:t xml:space="preserve">Our analyses showed no interactions between the variables mandatory </w:t>
      </w:r>
      <w:r w:rsidR="0038459F">
        <w:rPr>
          <w:rFonts w:cstheme="minorHAnsi"/>
          <w:lang w:val="en-US"/>
        </w:rPr>
        <w:lastRenderedPageBreak/>
        <w:t xml:space="preserve">and year. This means that although response is declining and mandatory surveys have a higher response than voluntary surveys, there is no difference in trends between mandatory and voluntary surveys. </w:t>
      </w:r>
      <w:r w:rsidR="00A768D8" w:rsidRPr="000B7B67">
        <w:rPr>
          <w:rFonts w:cstheme="minorHAnsi"/>
          <w:lang w:val="en-US"/>
        </w:rPr>
        <w:t>The variable mandatory has no effect on noncontacts. This fits the theories on survey nonresponse (e.g.</w:t>
      </w:r>
      <w:r w:rsidR="004E48C5">
        <w:rPr>
          <w:rFonts w:cstheme="minorHAnsi"/>
          <w:lang w:val="en-US"/>
        </w:rPr>
        <w:t>,</w:t>
      </w:r>
      <w:r w:rsidR="00A768D8" w:rsidRPr="000B7B67">
        <w:rPr>
          <w:rFonts w:cstheme="minorHAnsi"/>
          <w:lang w:val="en-US"/>
        </w:rPr>
        <w:t xml:space="preserve"> Groves and Couper</w:t>
      </w:r>
      <w:r w:rsidR="004E48C5">
        <w:rPr>
          <w:rFonts w:cstheme="minorHAnsi"/>
          <w:lang w:val="en-US"/>
        </w:rPr>
        <w:t>,</w:t>
      </w:r>
      <w:r w:rsidR="00A768D8" w:rsidRPr="000B7B67">
        <w:rPr>
          <w:rFonts w:cstheme="minorHAnsi"/>
          <w:lang w:val="en-US"/>
        </w:rPr>
        <w:t xml:space="preserve"> 1998); noncontacts should be attributed to design factors and fieldwork strategies, not to the voluntary or mandatory status of a survey.  </w:t>
      </w:r>
    </w:p>
    <w:p w:rsidR="00A768D8" w:rsidRDefault="004E48C5" w:rsidP="000B7B67">
      <w:pPr>
        <w:rPr>
          <w:rFonts w:cstheme="minorHAnsi"/>
          <w:lang w:val="en-US"/>
        </w:rPr>
      </w:pPr>
      <w:r>
        <w:rPr>
          <w:rFonts w:cstheme="minorHAnsi"/>
          <w:lang w:val="en-US"/>
        </w:rPr>
        <w:t xml:space="preserve">  </w:t>
      </w:r>
    </w:p>
    <w:p w:rsidR="00A768D8" w:rsidRDefault="00A768D8" w:rsidP="000B7B67">
      <w:pPr>
        <w:rPr>
          <w:rFonts w:cstheme="minorHAnsi"/>
          <w:lang w:val="en-US"/>
        </w:rPr>
      </w:pPr>
      <w:r>
        <w:rPr>
          <w:rFonts w:cstheme="minorHAnsi"/>
          <w:lang w:val="en-US"/>
        </w:rPr>
        <w:t xml:space="preserve">The slower rate of increase in refusals found for the LFS </w:t>
      </w:r>
      <w:r w:rsidR="000B7B67" w:rsidRPr="000B7B67">
        <w:rPr>
          <w:rFonts w:cstheme="minorHAnsi"/>
          <w:lang w:val="en-US"/>
        </w:rPr>
        <w:t>may reflect changes in survey practice and design, such as the use of incentives, refusal conversion, and responsive design (</w:t>
      </w:r>
      <w:r w:rsidR="0066676D">
        <w:rPr>
          <w:rFonts w:cstheme="minorHAnsi"/>
          <w:lang w:val="en-US"/>
        </w:rPr>
        <w:t>e.g.,</w:t>
      </w:r>
      <w:r w:rsidR="004E48C5">
        <w:rPr>
          <w:rFonts w:cstheme="minorHAnsi"/>
          <w:lang w:val="en-US"/>
        </w:rPr>
        <w:t xml:space="preserve"> Groves and</w:t>
      </w:r>
      <w:r w:rsidR="000B7B67" w:rsidRPr="000B7B67">
        <w:rPr>
          <w:rFonts w:cstheme="minorHAnsi"/>
          <w:lang w:val="en-US"/>
        </w:rPr>
        <w:t xml:space="preserve"> </w:t>
      </w:r>
      <w:proofErr w:type="spellStart"/>
      <w:r w:rsidR="000B7B67" w:rsidRPr="000B7B67">
        <w:rPr>
          <w:rFonts w:cstheme="minorHAnsi"/>
          <w:lang w:val="en-US"/>
        </w:rPr>
        <w:t>Heeringa</w:t>
      </w:r>
      <w:proofErr w:type="spellEnd"/>
      <w:r w:rsidR="000B7B67" w:rsidRPr="000B7B67">
        <w:rPr>
          <w:rFonts w:cstheme="minorHAnsi"/>
          <w:lang w:val="en-US"/>
        </w:rPr>
        <w:t xml:space="preserve"> 2006). </w:t>
      </w:r>
      <w:r w:rsidR="0066676D">
        <w:rPr>
          <w:rFonts w:cstheme="minorHAnsi"/>
          <w:lang w:val="en-US"/>
        </w:rPr>
        <w:t xml:space="preserve"> The initial publications on increasing survey nonresponse led to r</w:t>
      </w:r>
      <w:r w:rsidR="000B7B67" w:rsidRPr="000B7B67">
        <w:rPr>
          <w:rFonts w:cstheme="minorHAnsi"/>
          <w:lang w:val="en-US"/>
        </w:rPr>
        <w:t xml:space="preserve">enewed efforts to reduce nonresponse, and many theoretical and empirical publications </w:t>
      </w:r>
      <w:r w:rsidR="0066676D">
        <w:rPr>
          <w:rFonts w:cstheme="minorHAnsi"/>
          <w:lang w:val="en-US"/>
        </w:rPr>
        <w:t xml:space="preserve">on reducing nonresponse </w:t>
      </w:r>
      <w:r w:rsidR="000B7B67" w:rsidRPr="000B7B67">
        <w:rPr>
          <w:rFonts w:cstheme="minorHAnsi"/>
          <w:lang w:val="en-US"/>
        </w:rPr>
        <w:t>appeared in the period 1998-2005 (e.g., Groves and Couper, 1998; Groves, Dillman, Eltinge and Little 2002; Stoop 2005; Stoop et al. 2010)</w:t>
      </w:r>
      <w:r w:rsidR="0066676D">
        <w:rPr>
          <w:rFonts w:cstheme="minorHAnsi"/>
          <w:lang w:val="en-US"/>
        </w:rPr>
        <w:t>.  T</w:t>
      </w:r>
      <w:r w:rsidR="000B7B67" w:rsidRPr="000B7B67">
        <w:rPr>
          <w:rFonts w:cstheme="minorHAnsi"/>
          <w:lang w:val="en-US"/>
        </w:rPr>
        <w:t>h</w:t>
      </w:r>
      <w:r w:rsidR="004E48C5">
        <w:rPr>
          <w:rFonts w:cstheme="minorHAnsi"/>
          <w:lang w:val="en-US"/>
        </w:rPr>
        <w:t>at these</w:t>
      </w:r>
      <w:r w:rsidR="000B7B67" w:rsidRPr="000B7B67">
        <w:rPr>
          <w:rFonts w:cstheme="minorHAnsi"/>
          <w:lang w:val="en-US"/>
        </w:rPr>
        <w:t xml:space="preserve"> efforts have partially paid off</w:t>
      </w:r>
      <w:r w:rsidR="0066676D">
        <w:rPr>
          <w:rFonts w:cstheme="minorHAnsi"/>
          <w:lang w:val="en-US"/>
        </w:rPr>
        <w:t xml:space="preserve"> can be seen in the </w:t>
      </w:r>
      <w:r>
        <w:rPr>
          <w:rFonts w:cstheme="minorHAnsi"/>
          <w:lang w:val="en-US"/>
        </w:rPr>
        <w:t>slower</w:t>
      </w:r>
      <w:r w:rsidRPr="00ED0D17">
        <w:rPr>
          <w:rFonts w:cstheme="minorHAnsi"/>
          <w:lang w:val="en-US"/>
        </w:rPr>
        <w:t xml:space="preserve"> rate of increase of refusals</w:t>
      </w:r>
      <w:r>
        <w:rPr>
          <w:rFonts w:cstheme="minorHAnsi"/>
          <w:lang w:val="en-US"/>
        </w:rPr>
        <w:t xml:space="preserve"> in the new millennium</w:t>
      </w:r>
      <w:r w:rsidR="004E48C5">
        <w:rPr>
          <w:rFonts w:cstheme="minorHAnsi"/>
          <w:lang w:val="en-US"/>
        </w:rPr>
        <w:t>;</w:t>
      </w:r>
      <w:r>
        <w:rPr>
          <w:rFonts w:cstheme="minorHAnsi"/>
          <w:lang w:val="en-US"/>
        </w:rPr>
        <w:t xml:space="preserve"> </w:t>
      </w:r>
      <w:r w:rsidR="00E317B6">
        <w:rPr>
          <w:rFonts w:cstheme="minorHAnsi"/>
          <w:lang w:val="en-US"/>
        </w:rPr>
        <w:t>nevertheless</w:t>
      </w:r>
      <w:r w:rsidR="000B7B67" w:rsidRPr="000B7B67">
        <w:rPr>
          <w:rFonts w:cstheme="minorHAnsi"/>
          <w:lang w:val="en-US"/>
        </w:rPr>
        <w:t xml:space="preserve"> refusals </w:t>
      </w:r>
      <w:r>
        <w:rPr>
          <w:rFonts w:cstheme="minorHAnsi"/>
          <w:lang w:val="en-US"/>
        </w:rPr>
        <w:t xml:space="preserve">do </w:t>
      </w:r>
      <w:r w:rsidR="000B7B67" w:rsidRPr="000B7B67">
        <w:rPr>
          <w:rFonts w:cstheme="minorHAnsi"/>
          <w:lang w:val="en-US"/>
        </w:rPr>
        <w:t xml:space="preserve">continue to increase. </w:t>
      </w:r>
    </w:p>
    <w:p w:rsidR="00BF2083" w:rsidRDefault="00BF2083" w:rsidP="000B7B67">
      <w:pPr>
        <w:rPr>
          <w:rFonts w:cstheme="minorHAnsi"/>
          <w:lang w:val="en-US"/>
        </w:rPr>
      </w:pPr>
    </w:p>
    <w:p w:rsidR="00BF2083" w:rsidRDefault="00BF2083" w:rsidP="000B7B67">
      <w:pPr>
        <w:rPr>
          <w:rFonts w:cstheme="minorHAnsi"/>
          <w:lang w:val="en-US"/>
        </w:rPr>
      </w:pPr>
      <w:r>
        <w:rPr>
          <w:rFonts w:cstheme="minorHAnsi"/>
          <w:lang w:val="en-US"/>
        </w:rPr>
        <w:t>Contrary</w:t>
      </w:r>
      <w:r w:rsidR="00E317B6">
        <w:rPr>
          <w:rFonts w:cstheme="minorHAnsi"/>
          <w:lang w:val="en-US"/>
        </w:rPr>
        <w:t xml:space="preserve"> to</w:t>
      </w:r>
      <w:r>
        <w:rPr>
          <w:rFonts w:cstheme="minorHAnsi"/>
          <w:lang w:val="en-US"/>
        </w:rPr>
        <w:t xml:space="preserve"> the ESS, we did not find a slowing down of the </w:t>
      </w:r>
      <w:r w:rsidR="00615A22">
        <w:rPr>
          <w:rFonts w:cstheme="minorHAnsi"/>
          <w:lang w:val="en-US"/>
        </w:rPr>
        <w:t>increase</w:t>
      </w:r>
      <w:r>
        <w:rPr>
          <w:rFonts w:cstheme="minorHAnsi"/>
          <w:lang w:val="en-US"/>
        </w:rPr>
        <w:t xml:space="preserve"> in noncontact rates. This could be partially due to a difference in focus </w:t>
      </w:r>
      <w:r w:rsidR="00F67A6B">
        <w:rPr>
          <w:rFonts w:cstheme="minorHAnsi"/>
          <w:lang w:val="en-US"/>
        </w:rPr>
        <w:t xml:space="preserve">on fieldwork procedures </w:t>
      </w:r>
      <w:r>
        <w:rPr>
          <w:rFonts w:cstheme="minorHAnsi"/>
          <w:lang w:val="en-US"/>
        </w:rPr>
        <w:t xml:space="preserve">between </w:t>
      </w:r>
      <w:r w:rsidR="00E317B6">
        <w:rPr>
          <w:rFonts w:cstheme="minorHAnsi"/>
          <w:lang w:val="en-US"/>
        </w:rPr>
        <w:t>official statistical institutes -</w:t>
      </w:r>
      <w:r>
        <w:rPr>
          <w:rFonts w:cstheme="minorHAnsi"/>
          <w:lang w:val="en-US"/>
        </w:rPr>
        <w:t xml:space="preserve">responsible for the </w:t>
      </w:r>
      <w:proofErr w:type="spellStart"/>
      <w:r>
        <w:rPr>
          <w:rFonts w:cstheme="minorHAnsi"/>
          <w:lang w:val="en-US"/>
        </w:rPr>
        <w:t>Labour</w:t>
      </w:r>
      <w:proofErr w:type="spellEnd"/>
      <w:r>
        <w:rPr>
          <w:rFonts w:cstheme="minorHAnsi"/>
          <w:lang w:val="en-US"/>
        </w:rPr>
        <w:t xml:space="preserve"> Force Survey</w:t>
      </w:r>
      <w:proofErr w:type="gramStart"/>
      <w:r w:rsidR="00E317B6">
        <w:rPr>
          <w:rFonts w:cstheme="minorHAnsi"/>
          <w:lang w:val="en-US"/>
        </w:rPr>
        <w:t xml:space="preserve">- </w:t>
      </w:r>
      <w:r w:rsidR="00F67A6B">
        <w:rPr>
          <w:rFonts w:cstheme="minorHAnsi"/>
          <w:lang w:val="en-US"/>
        </w:rPr>
        <w:t xml:space="preserve"> and</w:t>
      </w:r>
      <w:proofErr w:type="gramEnd"/>
      <w:r w:rsidR="00F67A6B">
        <w:rPr>
          <w:rFonts w:cstheme="minorHAnsi"/>
          <w:lang w:val="en-US"/>
        </w:rPr>
        <w:t xml:space="preserve"> the ESS. For the LFS an increase in fieldwork efforts aiming at noncontacts may help in stabilizing the downward trend. Furthermore the large between country variance</w:t>
      </w:r>
      <w:r w:rsidR="00615A22">
        <w:rPr>
          <w:rFonts w:cstheme="minorHAnsi"/>
          <w:lang w:val="en-US"/>
        </w:rPr>
        <w:t xml:space="preserve"> detected in the analyses shows that countries differ in the rate of increase both of total nonresponse and its main components noncontacts and refusals. More research into differences between countries, their survey climate and fieldwork procedures, is necessary to investigate the origin of this.</w:t>
      </w:r>
    </w:p>
    <w:p w:rsidR="000B7B67" w:rsidRDefault="000B7B67" w:rsidP="000B7B67">
      <w:pPr>
        <w:rPr>
          <w:rFonts w:cstheme="minorHAnsi"/>
          <w:lang w:val="en-US"/>
        </w:rPr>
      </w:pPr>
    </w:p>
    <w:p w:rsidR="00A768D8" w:rsidRPr="000B7B67" w:rsidRDefault="00A768D8" w:rsidP="000B7B67">
      <w:pPr>
        <w:rPr>
          <w:rFonts w:cstheme="minorHAnsi"/>
          <w:lang w:val="en-US"/>
        </w:rPr>
      </w:pPr>
    </w:p>
    <w:p w:rsidR="000B7B67" w:rsidRPr="000B7B67" w:rsidRDefault="004E48C5" w:rsidP="000B7B67">
      <w:pPr>
        <w:rPr>
          <w:lang w:val="en-US"/>
        </w:rPr>
      </w:pPr>
      <w:r>
        <w:rPr>
          <w:rFonts w:cstheme="minorHAnsi"/>
          <w:lang w:val="en-US"/>
        </w:rPr>
        <w:t xml:space="preserve">Fighting nonresponse is a continuing battle. Part of the battle is reducing nonresponse as far as possible, and trying to slow the current trends. That this is possible is shown in the European Social Survey, where </w:t>
      </w:r>
      <w:r w:rsidR="003B20AF">
        <w:rPr>
          <w:rFonts w:cstheme="minorHAnsi"/>
          <w:lang w:val="en-US"/>
        </w:rPr>
        <w:t xml:space="preserve">increased fieldwork efforts stabilized and even reduced </w:t>
      </w:r>
      <w:r>
        <w:rPr>
          <w:rFonts w:cstheme="minorHAnsi"/>
          <w:lang w:val="en-US"/>
        </w:rPr>
        <w:t>noncontacts</w:t>
      </w:r>
      <w:r w:rsidR="003B20AF">
        <w:rPr>
          <w:rFonts w:cstheme="minorHAnsi"/>
          <w:lang w:val="en-US"/>
        </w:rPr>
        <w:t xml:space="preserve"> (</w:t>
      </w:r>
      <w:proofErr w:type="spellStart"/>
      <w:r w:rsidR="003B20AF">
        <w:rPr>
          <w:rFonts w:cstheme="minorHAnsi"/>
          <w:lang w:val="en-US"/>
        </w:rPr>
        <w:t>Beullens</w:t>
      </w:r>
      <w:proofErr w:type="spellEnd"/>
      <w:r w:rsidR="003B20AF">
        <w:rPr>
          <w:rFonts w:cstheme="minorHAnsi"/>
          <w:lang w:val="en-US"/>
        </w:rPr>
        <w:t xml:space="preserve"> et al, 2018). Furthermore, the slowing down in refusal rates in the LFS also is a hopeful sign. Part of the battle, is </w:t>
      </w:r>
      <w:r w:rsidR="006312B5">
        <w:rPr>
          <w:rFonts w:cstheme="minorHAnsi"/>
          <w:lang w:val="en-US"/>
        </w:rPr>
        <w:t xml:space="preserve">also </w:t>
      </w:r>
      <w:r w:rsidR="003B20AF">
        <w:rPr>
          <w:rFonts w:cstheme="minorHAnsi"/>
          <w:lang w:val="en-US"/>
        </w:rPr>
        <w:t xml:space="preserve">to gather more information on nonrespondents and assess the potential of nonresponse bias for important surveys (e.g., </w:t>
      </w:r>
      <w:r w:rsidR="006312B5">
        <w:rPr>
          <w:rFonts w:cstheme="minorHAnsi"/>
          <w:lang w:val="en-US"/>
        </w:rPr>
        <w:t>Couper &amp; de Leeuw, 2003</w:t>
      </w:r>
      <w:proofErr w:type="gramStart"/>
      <w:r w:rsidR="006312B5">
        <w:rPr>
          <w:rFonts w:cstheme="minorHAnsi"/>
          <w:lang w:val="en-US"/>
        </w:rPr>
        <w:t>;</w:t>
      </w:r>
      <w:r w:rsidR="003B20AF">
        <w:rPr>
          <w:rFonts w:cstheme="minorHAnsi"/>
          <w:lang w:val="en-US"/>
        </w:rPr>
        <w:t xml:space="preserve">  Groves</w:t>
      </w:r>
      <w:proofErr w:type="gramEnd"/>
      <w:r w:rsidR="003B20AF">
        <w:rPr>
          <w:rFonts w:cstheme="minorHAnsi"/>
          <w:lang w:val="en-US"/>
        </w:rPr>
        <w:t xml:space="preserve"> and </w:t>
      </w:r>
      <w:proofErr w:type="spellStart"/>
      <w:r w:rsidR="003B20AF">
        <w:rPr>
          <w:rFonts w:cstheme="minorHAnsi"/>
          <w:lang w:val="en-US"/>
        </w:rPr>
        <w:t>Petcheva</w:t>
      </w:r>
      <w:proofErr w:type="spellEnd"/>
      <w:r w:rsidR="003B20AF">
        <w:rPr>
          <w:rFonts w:cstheme="minorHAnsi"/>
          <w:lang w:val="en-US"/>
        </w:rPr>
        <w:t xml:space="preserve">, 2008;  </w:t>
      </w:r>
      <w:r w:rsidR="006312B5">
        <w:rPr>
          <w:rFonts w:cstheme="minorHAnsi"/>
          <w:lang w:val="en-US"/>
        </w:rPr>
        <w:t xml:space="preserve">Stoop, 2005) in order to better weigh and adjust for nonresponse. </w:t>
      </w:r>
      <w:r w:rsidR="00A768D8" w:rsidRPr="000B7B67">
        <w:rPr>
          <w:rFonts w:cstheme="minorHAnsi"/>
          <w:lang w:val="en-US"/>
        </w:rPr>
        <w:t xml:space="preserve">As response rates continue to decrease, one of the major challenges </w:t>
      </w:r>
      <w:r w:rsidR="006312B5">
        <w:rPr>
          <w:rFonts w:cstheme="minorHAnsi"/>
          <w:lang w:val="en-US"/>
        </w:rPr>
        <w:t>that remain is</w:t>
      </w:r>
      <w:r w:rsidR="00A768D8" w:rsidRPr="000B7B67">
        <w:rPr>
          <w:rFonts w:cstheme="minorHAnsi"/>
          <w:lang w:val="en-US"/>
        </w:rPr>
        <w:t xml:space="preserve"> </w:t>
      </w:r>
      <w:r w:rsidR="006312B5">
        <w:rPr>
          <w:rFonts w:cstheme="minorHAnsi"/>
          <w:lang w:val="en-US"/>
        </w:rPr>
        <w:t xml:space="preserve">the </w:t>
      </w:r>
      <w:r w:rsidR="00A768D8" w:rsidRPr="000B7B67">
        <w:rPr>
          <w:rFonts w:cstheme="minorHAnsi"/>
          <w:lang w:val="en-US"/>
        </w:rPr>
        <w:t xml:space="preserve">understanding </w:t>
      </w:r>
      <w:r w:rsidR="006312B5">
        <w:rPr>
          <w:rFonts w:cstheme="minorHAnsi"/>
          <w:lang w:val="en-US"/>
        </w:rPr>
        <w:t xml:space="preserve">of </w:t>
      </w:r>
      <w:r w:rsidR="00A768D8" w:rsidRPr="000B7B67">
        <w:rPr>
          <w:rFonts w:cstheme="minorHAnsi"/>
          <w:lang w:val="en-US"/>
        </w:rPr>
        <w:t>nonresponse and nonresponse bias</w:t>
      </w:r>
      <w:r w:rsidR="006312B5">
        <w:rPr>
          <w:rFonts w:cstheme="minorHAnsi"/>
          <w:lang w:val="en-US"/>
        </w:rPr>
        <w:t>,</w:t>
      </w:r>
      <w:r w:rsidR="00A768D8" w:rsidRPr="000B7B67">
        <w:rPr>
          <w:rFonts w:cstheme="minorHAnsi"/>
          <w:lang w:val="en-US"/>
        </w:rPr>
        <w:t xml:space="preserve"> and </w:t>
      </w:r>
      <w:r w:rsidR="006312B5">
        <w:rPr>
          <w:rFonts w:cstheme="minorHAnsi"/>
          <w:lang w:val="en-US"/>
        </w:rPr>
        <w:t xml:space="preserve">the </w:t>
      </w:r>
      <w:r w:rsidR="00A768D8" w:rsidRPr="000B7B67">
        <w:rPr>
          <w:rFonts w:cstheme="minorHAnsi"/>
          <w:lang w:val="en-US"/>
        </w:rPr>
        <w:t>develop</w:t>
      </w:r>
      <w:r w:rsidR="006312B5">
        <w:rPr>
          <w:rFonts w:cstheme="minorHAnsi"/>
          <w:lang w:val="en-US"/>
        </w:rPr>
        <w:t>ment of</w:t>
      </w:r>
      <w:r w:rsidR="00A768D8" w:rsidRPr="000B7B67">
        <w:rPr>
          <w:rFonts w:cstheme="minorHAnsi"/>
          <w:lang w:val="en-US"/>
        </w:rPr>
        <w:t xml:space="preserve"> sophisticated statistical methods for low response rate surveys (Singer 2006).</w:t>
      </w:r>
    </w:p>
    <w:p w:rsidR="006527E6" w:rsidRDefault="006527E6" w:rsidP="006527E6">
      <w:pPr>
        <w:rPr>
          <w:b/>
          <w:lang w:val="en-GB"/>
        </w:rPr>
      </w:pPr>
    </w:p>
    <w:p w:rsidR="001A7815" w:rsidRDefault="001A7815" w:rsidP="001A7815">
      <w:pPr>
        <w:rPr>
          <w:rFonts w:asciiTheme="majorHAnsi" w:hAnsiTheme="majorHAnsi" w:cstheme="majorHAnsi"/>
          <w:b/>
          <w:lang w:val="en-US"/>
        </w:rPr>
      </w:pPr>
      <w:r w:rsidRPr="001A7815">
        <w:rPr>
          <w:rFonts w:asciiTheme="majorHAnsi" w:hAnsiTheme="majorHAnsi" w:cstheme="majorHAnsi"/>
          <w:b/>
          <w:lang w:val="en-US"/>
        </w:rPr>
        <w:t>Appendix</w:t>
      </w:r>
    </w:p>
    <w:p w:rsidR="001A7815" w:rsidRDefault="001A7815" w:rsidP="001A7815">
      <w:pPr>
        <w:rPr>
          <w:rFonts w:asciiTheme="majorHAnsi" w:hAnsiTheme="majorHAnsi" w:cstheme="majorHAnsi"/>
          <w:b/>
          <w:lang w:val="en-US"/>
        </w:rPr>
      </w:pPr>
    </w:p>
    <w:p w:rsidR="001A7815" w:rsidRPr="001A7815" w:rsidRDefault="001A7815" w:rsidP="001A7815">
      <w:pPr>
        <w:rPr>
          <w:rFonts w:asciiTheme="majorHAnsi" w:hAnsiTheme="majorHAnsi" w:cstheme="majorHAnsi"/>
          <w:b/>
          <w:lang w:val="en-US"/>
        </w:rPr>
      </w:pPr>
      <w:r w:rsidRPr="001A7815">
        <w:rPr>
          <w:rFonts w:cstheme="minorHAnsi"/>
          <w:lang w:val="en-US"/>
        </w:rPr>
        <w:t>Countries included in each data set</w:t>
      </w:r>
    </w:p>
    <w:p w:rsidR="001A7815" w:rsidRPr="001A7815" w:rsidRDefault="001A7815" w:rsidP="001A7815">
      <w:pPr>
        <w:rPr>
          <w:rFonts w:cstheme="minorHAnsi"/>
          <w:lang w:val="en-US"/>
        </w:rPr>
      </w:pPr>
    </w:p>
    <w:p w:rsidR="001A7815" w:rsidRPr="001A7815" w:rsidRDefault="001A7815" w:rsidP="001A7815">
      <w:pPr>
        <w:rPr>
          <w:rFonts w:cstheme="minorHAnsi"/>
          <w:lang w:val="en-US"/>
        </w:rPr>
      </w:pPr>
      <w:r w:rsidRPr="001A7815">
        <w:rPr>
          <w:rFonts w:cstheme="minorHAnsi"/>
          <w:lang w:val="en-US"/>
        </w:rPr>
        <w:t>Country</w:t>
      </w:r>
      <w:r w:rsidRPr="001A7815">
        <w:rPr>
          <w:rFonts w:cstheme="minorHAnsi"/>
          <w:lang w:val="en-US"/>
        </w:rPr>
        <w:tab/>
      </w:r>
      <w:r w:rsidRPr="001A7815">
        <w:rPr>
          <w:rFonts w:cstheme="minorHAnsi"/>
          <w:lang w:val="en-US"/>
        </w:rPr>
        <w:tab/>
        <w:t>de Heer data (1980-1997)</w:t>
      </w:r>
      <w:r w:rsidRPr="001A7815">
        <w:rPr>
          <w:rFonts w:cstheme="minorHAnsi"/>
          <w:lang w:val="en-US"/>
        </w:rPr>
        <w:tab/>
        <w:t>Luiten data (1998-2015)</w:t>
      </w:r>
    </w:p>
    <w:p w:rsidR="001A7815" w:rsidRPr="001A7815" w:rsidRDefault="001A7815" w:rsidP="001A7815">
      <w:pPr>
        <w:rPr>
          <w:rFonts w:cstheme="minorHAnsi"/>
          <w:lang w:val="en-US"/>
        </w:rPr>
      </w:pPr>
      <w:r>
        <w:rPr>
          <w:rFonts w:cstheme="minorHAnsi"/>
          <w:lang w:val="en-US"/>
        </w:rPr>
        <w:t>Austria</w:t>
      </w:r>
      <w:r>
        <w:rPr>
          <w:rFonts w:cstheme="minorHAnsi"/>
          <w:lang w:val="en-US"/>
        </w:rPr>
        <w:tab/>
      </w:r>
      <w:r>
        <w:rPr>
          <w:rFonts w:cstheme="minorHAnsi"/>
          <w:lang w:val="en-US"/>
        </w:rPr>
        <w:tab/>
      </w:r>
      <w:r>
        <w:rPr>
          <w:rFonts w:cstheme="minorHAnsi"/>
          <w:lang w:val="en-US"/>
        </w:rPr>
        <w:tab/>
      </w:r>
      <w:r w:rsidRPr="001A7815">
        <w:rPr>
          <w:rFonts w:cstheme="minorHAnsi"/>
          <w:lang w:val="en-US"/>
        </w:rPr>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Australia</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 xml:space="preserve"> Belgium</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Bulgaria</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lastRenderedPageBreak/>
        <w:t>Canada</w:t>
      </w:r>
      <w:r>
        <w:rPr>
          <w:rFonts w:cstheme="minorHAnsi"/>
          <w:lang w:val="en-US"/>
        </w:rPr>
        <w:tab/>
      </w:r>
      <w:r>
        <w:rPr>
          <w:rFonts w:cstheme="minorHAnsi"/>
          <w:lang w:val="en-US"/>
        </w:rPr>
        <w:tab/>
      </w:r>
      <w:r>
        <w:rPr>
          <w:rFonts w:cstheme="minorHAnsi"/>
          <w:lang w:val="en-US"/>
        </w:rPr>
        <w:tab/>
      </w:r>
      <w:r w:rsidRPr="001A7815">
        <w:rPr>
          <w:rFonts w:cstheme="minorHAnsi"/>
          <w:lang w:val="en-US"/>
        </w:rPr>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Pr>
          <w:rFonts w:cstheme="minorHAnsi"/>
          <w:lang w:val="en-US"/>
        </w:rPr>
        <w:t>Croatia</w:t>
      </w:r>
      <w:r>
        <w:rPr>
          <w:rFonts w:cstheme="minorHAnsi"/>
          <w:lang w:val="en-US"/>
        </w:rPr>
        <w:tab/>
      </w:r>
      <w:r>
        <w:rPr>
          <w:rFonts w:cstheme="minorHAnsi"/>
          <w:lang w:val="en-US"/>
        </w:rPr>
        <w:tab/>
      </w:r>
      <w:r>
        <w:rPr>
          <w:rFonts w:cstheme="minorHAnsi"/>
          <w:lang w:val="en-US"/>
        </w:rPr>
        <w:tab/>
      </w:r>
      <w:r w:rsidRPr="001A7815">
        <w:rPr>
          <w:rFonts w:cstheme="minorHAnsi"/>
          <w:lang w:val="en-US"/>
        </w:rPr>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Denmark</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Finland</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France</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Germany</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Hungary</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Pr>
          <w:rFonts w:cstheme="minorHAnsi"/>
          <w:lang w:val="en-US"/>
        </w:rPr>
        <w:t>Iceland</w:t>
      </w:r>
      <w:r>
        <w:rPr>
          <w:rFonts w:cstheme="minorHAnsi"/>
          <w:lang w:val="en-US"/>
        </w:rPr>
        <w:tab/>
      </w:r>
      <w:r>
        <w:rPr>
          <w:rFonts w:cstheme="minorHAnsi"/>
          <w:lang w:val="en-US"/>
        </w:rPr>
        <w:tab/>
      </w:r>
      <w:r>
        <w:rPr>
          <w:rFonts w:cstheme="minorHAnsi"/>
          <w:lang w:val="en-US"/>
        </w:rPr>
        <w:tab/>
      </w:r>
      <w:r w:rsidRPr="001A7815">
        <w:rPr>
          <w:rFonts w:cstheme="minorHAnsi"/>
          <w:lang w:val="en-US"/>
        </w:rPr>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Italy</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Latvia</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Lithuania</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Malta</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proofErr w:type="gramStart"/>
      <w:r w:rsidRPr="001A7815">
        <w:rPr>
          <w:rFonts w:cstheme="minorHAnsi"/>
          <w:lang w:val="en-US"/>
        </w:rPr>
        <w:t>the</w:t>
      </w:r>
      <w:proofErr w:type="gramEnd"/>
      <w:r w:rsidRPr="001A7815">
        <w:rPr>
          <w:rFonts w:cstheme="minorHAnsi"/>
          <w:lang w:val="en-US"/>
        </w:rPr>
        <w:t xml:space="preserve"> Netherlands</w:t>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Norway</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Poland</w:t>
      </w:r>
      <w:r>
        <w:rPr>
          <w:rFonts w:cstheme="minorHAnsi"/>
          <w:lang w:val="en-US"/>
        </w:rPr>
        <w:tab/>
      </w:r>
      <w:r>
        <w:rPr>
          <w:rFonts w:cstheme="minorHAnsi"/>
          <w:lang w:val="en-US"/>
        </w:rPr>
        <w:tab/>
      </w:r>
      <w:r>
        <w:rPr>
          <w:rFonts w:cstheme="minorHAnsi"/>
          <w:lang w:val="en-US"/>
        </w:rPr>
        <w:tab/>
      </w:r>
      <w:r w:rsidRPr="001A7815">
        <w:rPr>
          <w:rFonts w:cstheme="minorHAnsi"/>
          <w:lang w:val="en-US"/>
        </w:rPr>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Portugal</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8B3A05" w:rsidRDefault="001A7815" w:rsidP="001A7815">
      <w:pPr>
        <w:rPr>
          <w:rFonts w:cstheme="minorHAnsi"/>
          <w:lang w:val="en-US"/>
        </w:rPr>
      </w:pPr>
      <w:r w:rsidRPr="008B3A05">
        <w:rPr>
          <w:rFonts w:cstheme="minorHAnsi"/>
          <w:lang w:val="en-US"/>
        </w:rPr>
        <w:t>Slovenia</w:t>
      </w:r>
      <w:r w:rsidRPr="008B3A05">
        <w:rPr>
          <w:rFonts w:cstheme="minorHAnsi"/>
          <w:lang w:val="en-US"/>
        </w:rPr>
        <w:tab/>
      </w:r>
      <w:r w:rsidRPr="008B3A05">
        <w:rPr>
          <w:rFonts w:cstheme="minorHAnsi"/>
          <w:lang w:val="en-US"/>
        </w:rPr>
        <w:tab/>
      </w:r>
      <w:r w:rsidRPr="008B3A05">
        <w:rPr>
          <w:rFonts w:cstheme="minorHAnsi"/>
          <w:lang w:val="en-US"/>
        </w:rPr>
        <w:tab/>
        <w:t>+</w:t>
      </w:r>
      <w:r w:rsidRPr="008B3A05">
        <w:rPr>
          <w:rFonts w:cstheme="minorHAnsi"/>
          <w:lang w:val="en-US"/>
        </w:rPr>
        <w:tab/>
      </w:r>
      <w:r w:rsidRPr="008B3A05">
        <w:rPr>
          <w:rFonts w:cstheme="minorHAnsi"/>
          <w:lang w:val="en-US"/>
        </w:rPr>
        <w:tab/>
      </w:r>
      <w:r w:rsidRPr="008B3A05">
        <w:rPr>
          <w:rFonts w:cstheme="minorHAnsi"/>
          <w:lang w:val="en-US"/>
        </w:rPr>
        <w:tab/>
      </w:r>
      <w:r w:rsidRPr="008B3A05">
        <w:rPr>
          <w:rFonts w:cstheme="minorHAnsi"/>
          <w:lang w:val="en-US"/>
        </w:rPr>
        <w:tab/>
        <w:t>+</w:t>
      </w:r>
    </w:p>
    <w:p w:rsidR="001A7815" w:rsidRPr="008B3A05" w:rsidRDefault="001A7815" w:rsidP="001A7815">
      <w:pPr>
        <w:rPr>
          <w:rFonts w:cstheme="minorHAnsi"/>
          <w:lang w:val="en-US"/>
        </w:rPr>
      </w:pPr>
      <w:r w:rsidRPr="008B3A05">
        <w:rPr>
          <w:rFonts w:cstheme="minorHAnsi"/>
          <w:lang w:val="en-US"/>
        </w:rPr>
        <w:t>Slovakia</w:t>
      </w:r>
      <w:r w:rsidRPr="008B3A05">
        <w:rPr>
          <w:rFonts w:cstheme="minorHAnsi"/>
          <w:lang w:val="en-US"/>
        </w:rPr>
        <w:tab/>
      </w:r>
      <w:r w:rsidRPr="008B3A05">
        <w:rPr>
          <w:rFonts w:cstheme="minorHAnsi"/>
          <w:lang w:val="en-US"/>
        </w:rPr>
        <w:tab/>
      </w:r>
      <w:r w:rsidRPr="008B3A05">
        <w:rPr>
          <w:rFonts w:cstheme="minorHAnsi"/>
          <w:lang w:val="en-US"/>
        </w:rPr>
        <w:tab/>
        <w:t>-</w:t>
      </w:r>
      <w:r w:rsidRPr="008B3A05">
        <w:rPr>
          <w:rFonts w:cstheme="minorHAnsi"/>
          <w:lang w:val="en-US"/>
        </w:rPr>
        <w:tab/>
      </w:r>
      <w:r w:rsidRPr="008B3A05">
        <w:rPr>
          <w:rFonts w:cstheme="minorHAnsi"/>
          <w:lang w:val="en-US"/>
        </w:rPr>
        <w:tab/>
      </w:r>
      <w:r w:rsidRPr="008B3A05">
        <w:rPr>
          <w:rFonts w:cstheme="minorHAnsi"/>
          <w:lang w:val="en-US"/>
        </w:rPr>
        <w:tab/>
      </w:r>
      <w:r w:rsidRPr="008B3A05">
        <w:rPr>
          <w:rFonts w:cstheme="minorHAnsi"/>
          <w:lang w:val="en-US"/>
        </w:rPr>
        <w:tab/>
        <w:t>+</w:t>
      </w:r>
    </w:p>
    <w:p w:rsidR="001A7815" w:rsidRPr="001A7815" w:rsidRDefault="001A7815" w:rsidP="001A7815">
      <w:pPr>
        <w:rPr>
          <w:rFonts w:cstheme="minorHAnsi"/>
          <w:lang w:val="en-US"/>
        </w:rPr>
      </w:pPr>
      <w:r w:rsidRPr="001A7815">
        <w:rPr>
          <w:rFonts w:cstheme="minorHAnsi"/>
          <w:lang w:val="en-US"/>
        </w:rPr>
        <w:t>Spain</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Sweden</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Switzerland</w:t>
      </w:r>
      <w:r w:rsidRPr="001A7815">
        <w:rPr>
          <w:rFonts w:cstheme="minorHAnsi"/>
          <w:lang w:val="en-US"/>
        </w:rPr>
        <w:tab/>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1A7815" w:rsidRDefault="001A7815" w:rsidP="001A7815">
      <w:pPr>
        <w:rPr>
          <w:rFonts w:cstheme="minorHAnsi"/>
          <w:lang w:val="en-US"/>
        </w:rPr>
      </w:pPr>
      <w:r w:rsidRPr="001A7815">
        <w:rPr>
          <w:rFonts w:cstheme="minorHAnsi"/>
          <w:lang w:val="en-US"/>
        </w:rPr>
        <w:t>United Kingdom</w:t>
      </w:r>
      <w:r w:rsidRPr="001A7815">
        <w:rPr>
          <w:rFonts w:cstheme="minorHAnsi"/>
          <w:lang w:val="en-US"/>
        </w:rPr>
        <w:tab/>
      </w:r>
      <w:r w:rsidRPr="001A7815">
        <w:rPr>
          <w:rFonts w:cstheme="minorHAnsi"/>
          <w:lang w:val="en-US"/>
        </w:rPr>
        <w:tab/>
        <w:t>+</w:t>
      </w:r>
      <w:r w:rsidRPr="001A7815">
        <w:rPr>
          <w:rFonts w:cstheme="minorHAnsi"/>
          <w:lang w:val="en-US"/>
        </w:rPr>
        <w:tab/>
      </w:r>
      <w:r w:rsidRPr="001A7815">
        <w:rPr>
          <w:rFonts w:cstheme="minorHAnsi"/>
          <w:lang w:val="en-US"/>
        </w:rPr>
        <w:tab/>
      </w:r>
      <w:r w:rsidRPr="001A7815">
        <w:rPr>
          <w:rFonts w:cstheme="minorHAnsi"/>
          <w:lang w:val="en-US"/>
        </w:rPr>
        <w:tab/>
      </w:r>
      <w:r w:rsidRPr="001A7815">
        <w:rPr>
          <w:rFonts w:cstheme="minorHAnsi"/>
          <w:lang w:val="en-US"/>
        </w:rPr>
        <w:tab/>
        <w:t>+</w:t>
      </w:r>
    </w:p>
    <w:p w:rsidR="001A7815" w:rsidRPr="009956D7" w:rsidRDefault="001A7815" w:rsidP="001A7815">
      <w:pPr>
        <w:rPr>
          <w:rFonts w:cstheme="minorHAnsi"/>
          <w:lang w:val="en-US"/>
        </w:rPr>
      </w:pPr>
      <w:r w:rsidRPr="009956D7">
        <w:rPr>
          <w:rFonts w:cstheme="minorHAnsi"/>
          <w:lang w:val="en-US"/>
        </w:rPr>
        <w:t>United States</w:t>
      </w:r>
      <w:r w:rsidRPr="009956D7">
        <w:rPr>
          <w:rFonts w:cstheme="minorHAnsi"/>
          <w:lang w:val="en-US"/>
        </w:rPr>
        <w:tab/>
      </w:r>
      <w:r w:rsidRPr="009956D7">
        <w:rPr>
          <w:rFonts w:cstheme="minorHAnsi"/>
          <w:lang w:val="en-US"/>
        </w:rPr>
        <w:tab/>
      </w:r>
      <w:r w:rsidRPr="009956D7">
        <w:rPr>
          <w:rFonts w:cstheme="minorHAnsi"/>
          <w:lang w:val="en-US"/>
        </w:rPr>
        <w:tab/>
        <w:t>+</w:t>
      </w:r>
      <w:r w:rsidRPr="009956D7">
        <w:rPr>
          <w:rFonts w:cstheme="minorHAnsi"/>
          <w:lang w:val="en-US"/>
        </w:rPr>
        <w:tab/>
      </w:r>
      <w:r w:rsidRPr="009956D7">
        <w:rPr>
          <w:rFonts w:cstheme="minorHAnsi"/>
          <w:lang w:val="en-US"/>
        </w:rPr>
        <w:tab/>
      </w:r>
      <w:r w:rsidRPr="009956D7">
        <w:rPr>
          <w:rFonts w:cstheme="minorHAnsi"/>
          <w:lang w:val="en-US"/>
        </w:rPr>
        <w:tab/>
      </w:r>
      <w:r w:rsidRPr="009956D7">
        <w:rPr>
          <w:rFonts w:cstheme="minorHAnsi"/>
          <w:lang w:val="en-US"/>
        </w:rPr>
        <w:tab/>
        <w:t>+</w:t>
      </w:r>
    </w:p>
    <w:p w:rsidR="001A7815" w:rsidRPr="009956D7" w:rsidRDefault="001A7815" w:rsidP="001A7815">
      <w:pPr>
        <w:rPr>
          <w:rFonts w:cstheme="minorHAnsi"/>
          <w:lang w:val="en-US"/>
        </w:rPr>
      </w:pPr>
    </w:p>
    <w:p w:rsidR="001A7815" w:rsidRDefault="001A7815" w:rsidP="006527E6">
      <w:pPr>
        <w:rPr>
          <w:b/>
          <w:lang w:val="en-GB"/>
        </w:rPr>
      </w:pPr>
    </w:p>
    <w:p w:rsidR="006527E6" w:rsidRDefault="00615FD6" w:rsidP="006527E6">
      <w:pPr>
        <w:rPr>
          <w:b/>
          <w:lang w:val="en-GB"/>
        </w:rPr>
      </w:pPr>
      <w:r w:rsidRPr="00572FE4">
        <w:rPr>
          <w:b/>
          <w:lang w:val="en-GB"/>
        </w:rPr>
        <w:t>References</w:t>
      </w:r>
    </w:p>
    <w:p w:rsidR="00615A22" w:rsidRPr="00615A22" w:rsidRDefault="00615A22" w:rsidP="00615A22">
      <w:pPr>
        <w:rPr>
          <w:b/>
          <w:lang w:val="en-GB"/>
        </w:rPr>
      </w:pPr>
    </w:p>
    <w:p w:rsidR="00615A22" w:rsidRPr="00615A22" w:rsidRDefault="00615A22" w:rsidP="00615A22">
      <w:pPr>
        <w:rPr>
          <w:lang w:val="en-US"/>
        </w:rPr>
      </w:pPr>
      <w:r w:rsidRPr="00615A22">
        <w:rPr>
          <w:lang w:val="en-US"/>
        </w:rPr>
        <w:t>AAPOR (2016) Standard Definitions, Final Dispositions of Case Codes and Outcome Rates for Surveys. Retrieved March 2018 (</w:t>
      </w:r>
      <w:hyperlink r:id="rId21" w:history="1">
        <w:r w:rsidRPr="00615A22">
          <w:rPr>
            <w:rStyle w:val="Hyperlink"/>
            <w:lang w:val="en-US"/>
          </w:rPr>
          <w:t>https://www.aapor.org/AAPOR_Main/media/publications/Standard-Definitions20169theditionfinal.pdf</w:t>
        </w:r>
      </w:hyperlink>
      <w:r w:rsidRPr="00615A22">
        <w:rPr>
          <w:lang w:val="en-US"/>
        </w:rPr>
        <w:t>)</w:t>
      </w:r>
    </w:p>
    <w:p w:rsidR="00615A22" w:rsidRPr="00615A22" w:rsidRDefault="00615A22" w:rsidP="00615A22">
      <w:pPr>
        <w:rPr>
          <w:lang w:val="nl-NL"/>
        </w:rPr>
      </w:pPr>
      <w:proofErr w:type="spellStart"/>
      <w:proofErr w:type="gramStart"/>
      <w:r w:rsidRPr="00615A22">
        <w:rPr>
          <w:lang w:val="en-US"/>
        </w:rPr>
        <w:t>Atrostic</w:t>
      </w:r>
      <w:proofErr w:type="spellEnd"/>
      <w:r w:rsidRPr="00615A22">
        <w:rPr>
          <w:lang w:val="en-US"/>
        </w:rPr>
        <w:t>, B.K., Bates, N., Burt, G., &amp; Silberstein, A. (2001).</w:t>
      </w:r>
      <w:proofErr w:type="gramEnd"/>
      <w:r w:rsidRPr="00615A22">
        <w:rPr>
          <w:lang w:val="en-US"/>
        </w:rPr>
        <w:t xml:space="preserve"> Nonresponse in US Government Household Surveys: Consistent Measures, Recent Trends, and New Insights. </w:t>
      </w:r>
      <w:r w:rsidRPr="00615A22">
        <w:rPr>
          <w:i/>
          <w:lang w:val="nl-NL"/>
        </w:rPr>
        <w:t xml:space="preserve">Journal of Official </w:t>
      </w:r>
      <w:proofErr w:type="spellStart"/>
      <w:r w:rsidRPr="00615A22">
        <w:rPr>
          <w:i/>
          <w:lang w:val="nl-NL"/>
        </w:rPr>
        <w:t>Statistics</w:t>
      </w:r>
      <w:proofErr w:type="spellEnd"/>
      <w:r w:rsidRPr="00615A22">
        <w:rPr>
          <w:lang w:val="nl-NL"/>
        </w:rPr>
        <w:t>, 17, 2, 209-226.</w:t>
      </w:r>
    </w:p>
    <w:p w:rsidR="00615A22" w:rsidRPr="00615A22" w:rsidRDefault="00615A22" w:rsidP="00615A22">
      <w:pPr>
        <w:rPr>
          <w:lang w:val="en-US"/>
        </w:rPr>
      </w:pPr>
      <w:proofErr w:type="spellStart"/>
      <w:r w:rsidRPr="00615A22">
        <w:rPr>
          <w:lang w:val="nl-NL"/>
        </w:rPr>
        <w:t>Beullens</w:t>
      </w:r>
      <w:proofErr w:type="spellEnd"/>
      <w:r w:rsidRPr="00615A22">
        <w:rPr>
          <w:lang w:val="nl-NL"/>
        </w:rPr>
        <w:t xml:space="preserve">, K., </w:t>
      </w:r>
      <w:proofErr w:type="spellStart"/>
      <w:r w:rsidRPr="00615A22">
        <w:rPr>
          <w:lang w:val="nl-NL"/>
        </w:rPr>
        <w:t>Loosveldt</w:t>
      </w:r>
      <w:proofErr w:type="spellEnd"/>
      <w:r w:rsidRPr="00615A22">
        <w:rPr>
          <w:lang w:val="nl-NL"/>
        </w:rPr>
        <w:t xml:space="preserve">, G., Vandenplas, C. &amp; Stoop, I. (2018). </w:t>
      </w:r>
      <w:r w:rsidRPr="00615A22">
        <w:rPr>
          <w:lang w:val="en-US"/>
        </w:rPr>
        <w:t xml:space="preserve">Response rates in The European Social Survey: Increasing, decreasing, or a matter of fieldwork efforts? </w:t>
      </w:r>
      <w:r w:rsidRPr="00615A22">
        <w:rPr>
          <w:i/>
          <w:iCs/>
          <w:lang w:val="en-US"/>
        </w:rPr>
        <w:t xml:space="preserve">Survey Methods: Insights from the Field. </w:t>
      </w:r>
      <w:r w:rsidRPr="00615A22">
        <w:rPr>
          <w:iCs/>
          <w:lang w:val="en-US"/>
        </w:rPr>
        <w:t xml:space="preserve">Retrieved (May, 2018) from </w:t>
      </w:r>
      <w:r w:rsidRPr="00615A22">
        <w:rPr>
          <w:lang w:val="en-US"/>
        </w:rPr>
        <w:t>https://surveyinsights.org/?p=9673</w:t>
      </w:r>
    </w:p>
    <w:p w:rsidR="00615A22" w:rsidRPr="00615A22" w:rsidRDefault="00615A22" w:rsidP="00615A22">
      <w:pPr>
        <w:rPr>
          <w:lang w:val="en-US"/>
        </w:rPr>
      </w:pPr>
      <w:proofErr w:type="spellStart"/>
      <w:r w:rsidRPr="00615A22">
        <w:rPr>
          <w:lang w:val="en-US"/>
        </w:rPr>
        <w:t>Bradburn</w:t>
      </w:r>
      <w:proofErr w:type="spellEnd"/>
      <w:r w:rsidRPr="00615A22">
        <w:rPr>
          <w:lang w:val="en-US"/>
        </w:rPr>
        <w:t xml:space="preserve">, N. (1992). A Response to the Nonresponse Problem: Presidential Address AAPOR. </w:t>
      </w:r>
      <w:proofErr w:type="gramStart"/>
      <w:r w:rsidRPr="00615A22">
        <w:rPr>
          <w:i/>
          <w:lang w:val="en-US"/>
        </w:rPr>
        <w:t>Public Opinion Quarterly</w:t>
      </w:r>
      <w:r w:rsidRPr="00615A22">
        <w:rPr>
          <w:lang w:val="en-US"/>
        </w:rPr>
        <w:t>, 56, 391-387.</w:t>
      </w:r>
      <w:proofErr w:type="gramEnd"/>
      <w:r w:rsidRPr="00615A22">
        <w:rPr>
          <w:lang w:val="en-US"/>
        </w:rPr>
        <w:t xml:space="preserve"> </w:t>
      </w:r>
    </w:p>
    <w:p w:rsidR="00615A22" w:rsidRPr="00615A22" w:rsidRDefault="00615A22" w:rsidP="00615A22">
      <w:pPr>
        <w:rPr>
          <w:lang w:val="en-US"/>
        </w:rPr>
      </w:pPr>
      <w:proofErr w:type="spellStart"/>
      <w:r w:rsidRPr="00615A22">
        <w:rPr>
          <w:lang w:val="en-US"/>
        </w:rPr>
        <w:t>Brehm</w:t>
      </w:r>
      <w:proofErr w:type="spellEnd"/>
      <w:r w:rsidRPr="00615A22">
        <w:rPr>
          <w:lang w:val="en-US"/>
        </w:rPr>
        <w:t>, J. (1993).</w:t>
      </w:r>
      <w:r w:rsidRPr="00615A22">
        <w:rPr>
          <w:i/>
          <w:lang w:val="en-US"/>
        </w:rPr>
        <w:t xml:space="preserve"> The Phantom Respondents: Opinion Surveys and Political Representation. </w:t>
      </w:r>
      <w:r w:rsidRPr="00615A22">
        <w:rPr>
          <w:lang w:val="en-US"/>
        </w:rPr>
        <w:t xml:space="preserve">Ann Arbor: The University of Michigan Press. </w:t>
      </w:r>
    </w:p>
    <w:p w:rsidR="00615A22" w:rsidRPr="00615A22" w:rsidRDefault="00615A22" w:rsidP="00615A22">
      <w:pPr>
        <w:rPr>
          <w:lang w:val="en-US"/>
        </w:rPr>
      </w:pPr>
      <w:proofErr w:type="gramStart"/>
      <w:r w:rsidRPr="00615A22">
        <w:rPr>
          <w:lang w:val="en-US"/>
        </w:rPr>
        <w:t>Couper, M.P. &amp; De Leeuw, E.D. (2003) Nonresponse in cross-cultural and cross-national surveys.</w:t>
      </w:r>
      <w:proofErr w:type="gramEnd"/>
      <w:r w:rsidRPr="00615A22">
        <w:rPr>
          <w:lang w:val="en-US"/>
        </w:rPr>
        <w:t xml:space="preserve"> </w:t>
      </w:r>
      <w:r w:rsidRPr="009956D7">
        <w:rPr>
          <w:lang w:val="en-US"/>
        </w:rPr>
        <w:t xml:space="preserve">In: J. A. Harkness, F. J. R. van de </w:t>
      </w:r>
      <w:proofErr w:type="spellStart"/>
      <w:r w:rsidRPr="009956D7">
        <w:rPr>
          <w:lang w:val="en-US"/>
        </w:rPr>
        <w:t>Vijver</w:t>
      </w:r>
      <w:proofErr w:type="spellEnd"/>
      <w:r w:rsidRPr="009956D7">
        <w:rPr>
          <w:lang w:val="en-US"/>
        </w:rPr>
        <w:t xml:space="preserve">, &amp; P. P. </w:t>
      </w:r>
      <w:proofErr w:type="spellStart"/>
      <w:r w:rsidRPr="009956D7">
        <w:rPr>
          <w:lang w:val="en-US"/>
        </w:rPr>
        <w:t>Mohler</w:t>
      </w:r>
      <w:proofErr w:type="spellEnd"/>
      <w:r w:rsidRPr="009956D7">
        <w:rPr>
          <w:lang w:val="en-US"/>
        </w:rPr>
        <w:t xml:space="preserve"> (</w:t>
      </w:r>
      <w:proofErr w:type="spellStart"/>
      <w:r w:rsidRPr="009956D7">
        <w:rPr>
          <w:lang w:val="en-US"/>
        </w:rPr>
        <w:t>Eds</w:t>
      </w:r>
      <w:proofErr w:type="spellEnd"/>
      <w:r w:rsidRPr="009956D7">
        <w:rPr>
          <w:lang w:val="en-US"/>
        </w:rPr>
        <w:t xml:space="preserve">). </w:t>
      </w:r>
      <w:proofErr w:type="gramStart"/>
      <w:r w:rsidRPr="00615A22">
        <w:rPr>
          <w:i/>
          <w:lang w:val="en-US"/>
        </w:rPr>
        <w:t>Cross-cultural survey methods.</w:t>
      </w:r>
      <w:proofErr w:type="gramEnd"/>
      <w:r w:rsidRPr="00615A22">
        <w:rPr>
          <w:i/>
          <w:lang w:val="en-US"/>
        </w:rPr>
        <w:t xml:space="preserve"> </w:t>
      </w:r>
      <w:r w:rsidRPr="00615A22">
        <w:rPr>
          <w:lang w:val="en-US"/>
        </w:rPr>
        <w:t>New York: Wiley, 157-177.</w:t>
      </w:r>
    </w:p>
    <w:p w:rsidR="00615A22" w:rsidRPr="00615A22" w:rsidRDefault="00615A22" w:rsidP="00615A22">
      <w:pPr>
        <w:rPr>
          <w:lang w:val="en-US"/>
        </w:rPr>
      </w:pPr>
      <w:proofErr w:type="gramStart"/>
      <w:r w:rsidRPr="00615A22">
        <w:rPr>
          <w:lang w:val="en-US"/>
        </w:rPr>
        <w:t>Curtin, R., Presser, S., &amp; Singer, E. (2005).</w:t>
      </w:r>
      <w:proofErr w:type="gramEnd"/>
      <w:r w:rsidRPr="00615A22">
        <w:rPr>
          <w:lang w:val="en-US"/>
        </w:rPr>
        <w:t xml:space="preserve"> </w:t>
      </w:r>
      <w:proofErr w:type="gramStart"/>
      <w:r w:rsidRPr="00615A22">
        <w:rPr>
          <w:lang w:val="en-US"/>
        </w:rPr>
        <w:t>Changes in Telephone Survey Nonresponse over the Past Quarter Century.</w:t>
      </w:r>
      <w:proofErr w:type="gramEnd"/>
      <w:r w:rsidRPr="00615A22">
        <w:rPr>
          <w:lang w:val="en-US"/>
        </w:rPr>
        <w:t xml:space="preserve"> </w:t>
      </w:r>
      <w:r w:rsidRPr="00615A22">
        <w:rPr>
          <w:i/>
          <w:lang w:val="en-US"/>
        </w:rPr>
        <w:t>Public Opinion Quarterly</w:t>
      </w:r>
      <w:r w:rsidRPr="00615A22">
        <w:rPr>
          <w:lang w:val="en-US"/>
        </w:rPr>
        <w:t xml:space="preserve">, 69, 1, 87-98. </w:t>
      </w:r>
    </w:p>
    <w:p w:rsidR="00615A22" w:rsidRPr="00615A22" w:rsidRDefault="00615A22" w:rsidP="00615A22">
      <w:pPr>
        <w:rPr>
          <w:lang w:val="en-US"/>
        </w:rPr>
      </w:pPr>
      <w:r w:rsidRPr="00615A22">
        <w:rPr>
          <w:lang w:val="en-US"/>
        </w:rPr>
        <w:t xml:space="preserve">Groves, R. (1989). </w:t>
      </w:r>
      <w:proofErr w:type="gramStart"/>
      <w:r w:rsidRPr="00615A22">
        <w:rPr>
          <w:i/>
          <w:lang w:val="en-US"/>
        </w:rPr>
        <w:t>Survey Errors and Survey Costs</w:t>
      </w:r>
      <w:r w:rsidRPr="00615A22">
        <w:rPr>
          <w:lang w:val="en-US"/>
        </w:rPr>
        <w:t>.</w:t>
      </w:r>
      <w:proofErr w:type="gramEnd"/>
      <w:r w:rsidRPr="00615A22">
        <w:rPr>
          <w:lang w:val="en-US"/>
        </w:rPr>
        <w:t xml:space="preserve"> Hoboken: John Wiley &amp; Sons.</w:t>
      </w:r>
    </w:p>
    <w:p w:rsidR="00615A22" w:rsidRPr="00615A22" w:rsidRDefault="00615A22" w:rsidP="00615A22">
      <w:pPr>
        <w:rPr>
          <w:lang w:val="en-US"/>
        </w:rPr>
      </w:pPr>
      <w:proofErr w:type="gramStart"/>
      <w:r w:rsidRPr="00615A22">
        <w:rPr>
          <w:lang w:val="en-US"/>
        </w:rPr>
        <w:lastRenderedPageBreak/>
        <w:t>Groves, R. &amp; Couper, M. (1998).</w:t>
      </w:r>
      <w:proofErr w:type="gramEnd"/>
      <w:r w:rsidRPr="00615A22">
        <w:rPr>
          <w:lang w:val="en-US"/>
        </w:rPr>
        <w:t xml:space="preserve"> </w:t>
      </w:r>
      <w:proofErr w:type="gramStart"/>
      <w:r w:rsidRPr="00615A22">
        <w:rPr>
          <w:i/>
          <w:lang w:val="en-US"/>
        </w:rPr>
        <w:t>Nonresponse in Household Survey Interviews</w:t>
      </w:r>
      <w:r w:rsidRPr="00615A22">
        <w:rPr>
          <w:lang w:val="en-US"/>
        </w:rPr>
        <w:t>.</w:t>
      </w:r>
      <w:proofErr w:type="gramEnd"/>
      <w:r w:rsidRPr="00615A22">
        <w:rPr>
          <w:lang w:val="en-US"/>
        </w:rPr>
        <w:t xml:space="preserve"> New York: John Wiley &amp; Sons.</w:t>
      </w:r>
    </w:p>
    <w:p w:rsidR="00615A22" w:rsidRPr="00615A22" w:rsidRDefault="00615A22" w:rsidP="00615A22">
      <w:pPr>
        <w:rPr>
          <w:lang w:val="en-US"/>
        </w:rPr>
      </w:pPr>
      <w:proofErr w:type="gramStart"/>
      <w:r w:rsidRPr="00615A22">
        <w:rPr>
          <w:lang w:val="en-US"/>
        </w:rPr>
        <w:t>Groves, R., Dillman, D., Eltinge, J., Little, R. (2002).</w:t>
      </w:r>
      <w:proofErr w:type="gramEnd"/>
      <w:r w:rsidRPr="00615A22">
        <w:rPr>
          <w:lang w:val="en-US"/>
        </w:rPr>
        <w:t xml:space="preserve"> </w:t>
      </w:r>
      <w:proofErr w:type="gramStart"/>
      <w:r w:rsidRPr="00615A22">
        <w:rPr>
          <w:i/>
          <w:lang w:val="en-US"/>
        </w:rPr>
        <w:t>Survey Nonresponse.</w:t>
      </w:r>
      <w:proofErr w:type="gramEnd"/>
      <w:r w:rsidRPr="00615A22">
        <w:rPr>
          <w:lang w:val="en-US"/>
        </w:rPr>
        <w:t xml:space="preserve"> New York: John Wiley &amp; Sons. </w:t>
      </w:r>
    </w:p>
    <w:p w:rsidR="00615A22" w:rsidRPr="00615A22" w:rsidRDefault="00615A22" w:rsidP="00615A22">
      <w:pPr>
        <w:rPr>
          <w:lang w:val="en-US"/>
        </w:rPr>
      </w:pPr>
      <w:r w:rsidRPr="00615A22">
        <w:rPr>
          <w:lang w:val="en-US"/>
        </w:rPr>
        <w:t xml:space="preserve">Groves, R. &amp; </w:t>
      </w:r>
      <w:proofErr w:type="spellStart"/>
      <w:r w:rsidRPr="00615A22">
        <w:rPr>
          <w:lang w:val="en-US"/>
        </w:rPr>
        <w:t>Heeringa</w:t>
      </w:r>
      <w:proofErr w:type="spellEnd"/>
      <w:r w:rsidRPr="00615A22">
        <w:rPr>
          <w:lang w:val="en-US"/>
        </w:rPr>
        <w:t xml:space="preserve">, S. (2006). Responsive Design for Household Surveys: Tools for Actively Controlling Survey Errors and Costs. </w:t>
      </w:r>
      <w:r w:rsidRPr="00615A22">
        <w:rPr>
          <w:i/>
          <w:lang w:val="en-US"/>
        </w:rPr>
        <w:t>Journal of the Royal Statistical Society A, 1</w:t>
      </w:r>
      <w:r w:rsidRPr="00615A22">
        <w:rPr>
          <w:lang w:val="en-US"/>
        </w:rPr>
        <w:t>69, 3, 439-457.</w:t>
      </w:r>
    </w:p>
    <w:p w:rsidR="00615A22" w:rsidRPr="00615A22" w:rsidRDefault="00615A22" w:rsidP="00615A22">
      <w:pPr>
        <w:rPr>
          <w:lang w:val="en-US"/>
        </w:rPr>
      </w:pPr>
      <w:proofErr w:type="gramStart"/>
      <w:r w:rsidRPr="00615A22">
        <w:rPr>
          <w:lang w:val="en-US"/>
        </w:rPr>
        <w:t xml:space="preserve">Groves, R. &amp; </w:t>
      </w:r>
      <w:proofErr w:type="spellStart"/>
      <w:r w:rsidRPr="00615A22">
        <w:rPr>
          <w:lang w:val="en-US"/>
        </w:rPr>
        <w:t>Petcheva</w:t>
      </w:r>
      <w:proofErr w:type="spellEnd"/>
      <w:r w:rsidRPr="00615A22">
        <w:rPr>
          <w:lang w:val="en-US"/>
        </w:rPr>
        <w:t>, E. (2005).</w:t>
      </w:r>
      <w:proofErr w:type="gramEnd"/>
      <w:r w:rsidRPr="00615A22">
        <w:rPr>
          <w:lang w:val="en-US"/>
        </w:rPr>
        <w:t xml:space="preserve"> The impact of nonresponse rates on nonresponse bias: A meta-analysis. Public Opinion Quarterly, 72, 2, 167-189.</w:t>
      </w:r>
    </w:p>
    <w:p w:rsidR="00615A22" w:rsidRPr="00615A22" w:rsidRDefault="00615A22" w:rsidP="00615A22">
      <w:pPr>
        <w:rPr>
          <w:lang w:val="en-US"/>
        </w:rPr>
      </w:pPr>
      <w:proofErr w:type="gramStart"/>
      <w:r w:rsidRPr="00615A22">
        <w:rPr>
          <w:lang w:val="en-US"/>
        </w:rPr>
        <w:t xml:space="preserve">Guilford, J. P., &amp; </w:t>
      </w:r>
      <w:proofErr w:type="spellStart"/>
      <w:r w:rsidRPr="00615A22">
        <w:rPr>
          <w:lang w:val="en-US"/>
        </w:rPr>
        <w:t>Fruchter</w:t>
      </w:r>
      <w:proofErr w:type="spellEnd"/>
      <w:r w:rsidRPr="00615A22">
        <w:rPr>
          <w:lang w:val="en-US"/>
        </w:rPr>
        <w:t>, B. (1978).</w:t>
      </w:r>
      <w:proofErr w:type="gramEnd"/>
      <w:r w:rsidRPr="00615A22">
        <w:rPr>
          <w:lang w:val="en-US"/>
        </w:rPr>
        <w:t xml:space="preserve"> </w:t>
      </w:r>
      <w:proofErr w:type="gramStart"/>
      <w:r w:rsidRPr="00615A22">
        <w:rPr>
          <w:i/>
          <w:lang w:val="en-US"/>
        </w:rPr>
        <w:t>Fundamental Statistics in Psychology and Education</w:t>
      </w:r>
      <w:r w:rsidRPr="00615A22">
        <w:rPr>
          <w:lang w:val="en-US"/>
        </w:rPr>
        <w:t>.</w:t>
      </w:r>
      <w:proofErr w:type="gramEnd"/>
      <w:r w:rsidRPr="00615A22">
        <w:rPr>
          <w:lang w:val="en-US"/>
        </w:rPr>
        <w:t xml:space="preserve"> New York, London: Mc </w:t>
      </w:r>
      <w:proofErr w:type="spellStart"/>
      <w:r w:rsidRPr="00615A22">
        <w:rPr>
          <w:lang w:val="en-US"/>
        </w:rPr>
        <w:t>Graw</w:t>
      </w:r>
      <w:proofErr w:type="spellEnd"/>
      <w:r w:rsidRPr="00615A22">
        <w:rPr>
          <w:lang w:val="en-US"/>
        </w:rPr>
        <w:t>-Hill.</w:t>
      </w:r>
    </w:p>
    <w:p w:rsidR="00615A22" w:rsidRPr="00615A22" w:rsidRDefault="00615A22" w:rsidP="00615A22">
      <w:pPr>
        <w:rPr>
          <w:lang w:val="nl-NL"/>
        </w:rPr>
      </w:pPr>
      <w:proofErr w:type="gramStart"/>
      <w:r w:rsidRPr="00615A22">
        <w:rPr>
          <w:lang w:val="en-US"/>
        </w:rPr>
        <w:t>de</w:t>
      </w:r>
      <w:proofErr w:type="gramEnd"/>
      <w:r w:rsidRPr="00615A22">
        <w:rPr>
          <w:lang w:val="en-US"/>
        </w:rPr>
        <w:t xml:space="preserve"> Heer, W. (1999). International Response Trends: Results of an International Survey. </w:t>
      </w:r>
      <w:r w:rsidRPr="00615A22">
        <w:rPr>
          <w:i/>
          <w:lang w:val="nl-NL"/>
        </w:rPr>
        <w:t xml:space="preserve">Journal of Official </w:t>
      </w:r>
      <w:proofErr w:type="spellStart"/>
      <w:r w:rsidRPr="00615A22">
        <w:rPr>
          <w:i/>
          <w:lang w:val="nl-NL"/>
        </w:rPr>
        <w:t>Statistics</w:t>
      </w:r>
      <w:proofErr w:type="spellEnd"/>
      <w:r w:rsidRPr="00615A22">
        <w:rPr>
          <w:i/>
          <w:lang w:val="nl-NL"/>
        </w:rPr>
        <w:t>,</w:t>
      </w:r>
      <w:r w:rsidRPr="00615A22">
        <w:rPr>
          <w:lang w:val="nl-NL"/>
        </w:rPr>
        <w:t xml:space="preserve"> 15, 1, 129-142. </w:t>
      </w:r>
    </w:p>
    <w:p w:rsidR="00615A22" w:rsidRPr="00615A22" w:rsidRDefault="00615A22" w:rsidP="00615A22">
      <w:pPr>
        <w:rPr>
          <w:i/>
          <w:lang w:val="en-US"/>
        </w:rPr>
      </w:pPr>
      <w:r w:rsidRPr="00615A22">
        <w:rPr>
          <w:lang w:val="nl-NL"/>
        </w:rPr>
        <w:t xml:space="preserve">Hox, J., Moerbeek, M., &amp; </w:t>
      </w:r>
      <w:proofErr w:type="gramStart"/>
      <w:r w:rsidRPr="00615A22">
        <w:rPr>
          <w:lang w:val="nl-NL"/>
        </w:rPr>
        <w:t>van</w:t>
      </w:r>
      <w:proofErr w:type="gramEnd"/>
      <w:r w:rsidRPr="00615A22">
        <w:rPr>
          <w:lang w:val="nl-NL"/>
        </w:rPr>
        <w:t xml:space="preserve"> de Schoot, R. (2018). </w:t>
      </w:r>
      <w:proofErr w:type="gramStart"/>
      <w:r w:rsidRPr="00615A22">
        <w:rPr>
          <w:i/>
          <w:lang w:val="en-US"/>
        </w:rPr>
        <w:t>Multilevel Analysis.</w:t>
      </w:r>
      <w:proofErr w:type="gramEnd"/>
      <w:r w:rsidRPr="00615A22">
        <w:rPr>
          <w:i/>
          <w:lang w:val="en-US"/>
        </w:rPr>
        <w:t xml:space="preserve"> </w:t>
      </w:r>
      <w:proofErr w:type="gramStart"/>
      <w:r w:rsidRPr="00615A22">
        <w:rPr>
          <w:i/>
          <w:lang w:val="en-US"/>
        </w:rPr>
        <w:t>Techniques and Applications</w:t>
      </w:r>
      <w:r w:rsidRPr="00615A22">
        <w:rPr>
          <w:lang w:val="en-US"/>
        </w:rPr>
        <w:t>.</w:t>
      </w:r>
      <w:proofErr w:type="gramEnd"/>
      <w:r w:rsidRPr="00615A22">
        <w:rPr>
          <w:lang w:val="en-US"/>
        </w:rPr>
        <w:t xml:space="preserve"> New York, London: Routledge.</w:t>
      </w:r>
    </w:p>
    <w:p w:rsidR="00615A22" w:rsidRPr="00615A22" w:rsidRDefault="00615A22" w:rsidP="00615A22">
      <w:pPr>
        <w:rPr>
          <w:lang w:val="en-US"/>
        </w:rPr>
      </w:pPr>
      <w:proofErr w:type="gramStart"/>
      <w:r w:rsidRPr="00615A22">
        <w:rPr>
          <w:lang w:val="nl-NL"/>
        </w:rPr>
        <w:t>de</w:t>
      </w:r>
      <w:proofErr w:type="gramEnd"/>
      <w:r w:rsidRPr="00615A22">
        <w:rPr>
          <w:lang w:val="nl-NL"/>
        </w:rPr>
        <w:t xml:space="preserve"> Leeuw, E., &amp; </w:t>
      </w:r>
      <w:proofErr w:type="gramStart"/>
      <w:r w:rsidRPr="00615A22">
        <w:rPr>
          <w:lang w:val="nl-NL"/>
        </w:rPr>
        <w:t>de</w:t>
      </w:r>
      <w:proofErr w:type="gramEnd"/>
      <w:r w:rsidRPr="00615A22">
        <w:rPr>
          <w:lang w:val="nl-NL"/>
        </w:rPr>
        <w:t xml:space="preserve"> Heer, W., (2002). </w:t>
      </w:r>
      <w:r w:rsidRPr="00615A22">
        <w:rPr>
          <w:lang w:val="en-US"/>
        </w:rPr>
        <w:t>Trends in Household Survey Nonresponse: A Longitudinal and International Comparison. In R.M. Groves, D.A. Dillman, J.L. Eltinge, R.J.A. Little (</w:t>
      </w:r>
      <w:proofErr w:type="spellStart"/>
      <w:r w:rsidRPr="00615A22">
        <w:rPr>
          <w:lang w:val="en-US"/>
        </w:rPr>
        <w:t>Eds</w:t>
      </w:r>
      <w:proofErr w:type="spellEnd"/>
      <w:r w:rsidRPr="00615A22">
        <w:rPr>
          <w:lang w:val="en-US"/>
        </w:rPr>
        <w:t xml:space="preserve">) </w:t>
      </w:r>
      <w:r w:rsidRPr="00615A22">
        <w:rPr>
          <w:i/>
          <w:lang w:val="en-US"/>
        </w:rPr>
        <w:t>Survey Nonresponse</w:t>
      </w:r>
      <w:r w:rsidRPr="00615A22">
        <w:rPr>
          <w:lang w:val="en-US"/>
        </w:rPr>
        <w:t>, p.p. 41-54 New York: John Wiley &amp; Sons.</w:t>
      </w:r>
    </w:p>
    <w:p w:rsidR="00615A22" w:rsidRPr="00615A22" w:rsidRDefault="00615A22" w:rsidP="00615A22">
      <w:pPr>
        <w:rPr>
          <w:lang w:val="en-US"/>
        </w:rPr>
      </w:pPr>
      <w:r w:rsidRPr="00615A22">
        <w:rPr>
          <w:lang w:val="nl-NL"/>
        </w:rPr>
        <w:t xml:space="preserve">Luiten, A., de Leeuw, E., Schouten, B., &amp; Hox, J. (2016). </w:t>
      </w:r>
      <w:r w:rsidRPr="00615A22">
        <w:rPr>
          <w:lang w:val="en-US"/>
        </w:rPr>
        <w:t>First Results of the (new) International Questionnaire on Nonresponse: Response of the LFS. Paper presented at International Workshop of Household Survey Nonresponse, Oslo, Norway.</w:t>
      </w:r>
    </w:p>
    <w:p w:rsidR="00615A22" w:rsidRPr="00615A22" w:rsidRDefault="00615A22" w:rsidP="00615A22">
      <w:pPr>
        <w:rPr>
          <w:lang w:val="en-US"/>
        </w:rPr>
      </w:pPr>
      <w:r w:rsidRPr="00615A22">
        <w:rPr>
          <w:lang w:val="en-US"/>
        </w:rPr>
        <w:t xml:space="preserve">Singer, E. (2006). Nonresponse Bias in Household Surveys: Introduction. </w:t>
      </w:r>
      <w:r w:rsidRPr="00615A22">
        <w:rPr>
          <w:i/>
          <w:lang w:val="en-US"/>
        </w:rPr>
        <w:t>Public Opinion Quarterly</w:t>
      </w:r>
      <w:r w:rsidRPr="00615A22">
        <w:rPr>
          <w:lang w:val="en-US"/>
        </w:rPr>
        <w:t>, 70, 5, 637-645.</w:t>
      </w:r>
    </w:p>
    <w:p w:rsidR="00615A22" w:rsidRPr="00615A22" w:rsidRDefault="00615A22" w:rsidP="00615A22">
      <w:pPr>
        <w:rPr>
          <w:lang w:val="en-US"/>
        </w:rPr>
      </w:pPr>
      <w:proofErr w:type="spellStart"/>
      <w:r w:rsidRPr="00615A22">
        <w:rPr>
          <w:lang w:val="en-US"/>
        </w:rPr>
        <w:t>Steeh</w:t>
      </w:r>
      <w:proofErr w:type="spellEnd"/>
      <w:r w:rsidRPr="00615A22">
        <w:rPr>
          <w:lang w:val="en-US"/>
        </w:rPr>
        <w:t>, Ch. (1981). Trends in Nonresponse Rates, 1952-1979.</w:t>
      </w:r>
      <w:r w:rsidRPr="00615A22">
        <w:rPr>
          <w:i/>
          <w:lang w:val="en-US"/>
        </w:rPr>
        <w:t xml:space="preserve"> Public Opinion Quarterly, </w:t>
      </w:r>
      <w:r w:rsidRPr="00615A22">
        <w:rPr>
          <w:lang w:val="en-US"/>
        </w:rPr>
        <w:t>45, 40-57.</w:t>
      </w:r>
    </w:p>
    <w:p w:rsidR="00615A22" w:rsidRPr="00615A22" w:rsidRDefault="00615A22" w:rsidP="00615A22">
      <w:pPr>
        <w:rPr>
          <w:lang w:val="en-US"/>
        </w:rPr>
      </w:pPr>
      <w:r w:rsidRPr="00615A22">
        <w:rPr>
          <w:lang w:val="en-US"/>
        </w:rPr>
        <w:t xml:space="preserve">Stoop, I. (2005). </w:t>
      </w:r>
      <w:proofErr w:type="gramStart"/>
      <w:r w:rsidRPr="00615A22">
        <w:rPr>
          <w:i/>
          <w:lang w:val="en-US"/>
        </w:rPr>
        <w:t>The Hunt for the Last Respondent.</w:t>
      </w:r>
      <w:proofErr w:type="gramEnd"/>
      <w:r w:rsidRPr="00615A22">
        <w:rPr>
          <w:i/>
          <w:lang w:val="en-US"/>
        </w:rPr>
        <w:t xml:space="preserve"> </w:t>
      </w:r>
      <w:r w:rsidRPr="00615A22">
        <w:rPr>
          <w:lang w:val="en-US"/>
        </w:rPr>
        <w:t>The Hague: Social and Cultural planning Office.</w:t>
      </w:r>
    </w:p>
    <w:p w:rsidR="00615A22" w:rsidRPr="00615A22" w:rsidRDefault="00615A22" w:rsidP="00615A22">
      <w:pPr>
        <w:rPr>
          <w:lang w:val="en-US"/>
        </w:rPr>
      </w:pPr>
      <w:r w:rsidRPr="00C55FCD">
        <w:rPr>
          <w:lang w:val="nl-NL"/>
        </w:rPr>
        <w:t xml:space="preserve">Stoop, I., Billiet, J., Koch, A., &amp; Fitzgerald, R. (2010).  </w:t>
      </w:r>
      <w:r w:rsidRPr="00615A22">
        <w:rPr>
          <w:i/>
          <w:lang w:val="en-US"/>
        </w:rPr>
        <w:t>Improving Survey Response: Lessons Learned from the European Social Survey.</w:t>
      </w:r>
      <w:r w:rsidRPr="00615A22">
        <w:rPr>
          <w:lang w:val="en-US"/>
        </w:rPr>
        <w:t xml:space="preserve"> </w:t>
      </w:r>
      <w:proofErr w:type="spellStart"/>
      <w:r w:rsidRPr="00615A22">
        <w:rPr>
          <w:lang w:val="en-US"/>
        </w:rPr>
        <w:t>Chichester</w:t>
      </w:r>
      <w:proofErr w:type="spellEnd"/>
      <w:r w:rsidRPr="00615A22">
        <w:rPr>
          <w:lang w:val="en-US"/>
        </w:rPr>
        <w:t>: John Wiley &amp; Sons.</w:t>
      </w:r>
    </w:p>
    <w:p w:rsidR="00615A22" w:rsidRPr="00615A22" w:rsidRDefault="009956D7" w:rsidP="00615A22">
      <w:pPr>
        <w:rPr>
          <w:lang w:val="en-US"/>
        </w:rPr>
      </w:pPr>
      <w:proofErr w:type="gramStart"/>
      <w:r>
        <w:rPr>
          <w:lang w:val="en-US"/>
        </w:rPr>
        <w:t>Williams, D. &amp; Brick, M. (2018</w:t>
      </w:r>
      <w:r w:rsidR="00615A22" w:rsidRPr="00615A22">
        <w:rPr>
          <w:lang w:val="en-US"/>
        </w:rPr>
        <w:t>).</w:t>
      </w:r>
      <w:proofErr w:type="gramEnd"/>
      <w:r w:rsidR="00615A22" w:rsidRPr="00615A22">
        <w:rPr>
          <w:lang w:val="en-US"/>
        </w:rPr>
        <w:t xml:space="preserve"> </w:t>
      </w:r>
      <w:proofErr w:type="gramStart"/>
      <w:r w:rsidR="00615A22" w:rsidRPr="00615A22">
        <w:rPr>
          <w:lang w:val="en-US"/>
        </w:rPr>
        <w:t>Trends in US Face-to-Face Household Survey Nonresponse and Level of Effort.</w:t>
      </w:r>
      <w:proofErr w:type="gramEnd"/>
      <w:r w:rsidR="00615A22" w:rsidRPr="00615A22">
        <w:rPr>
          <w:lang w:val="en-US"/>
        </w:rPr>
        <w:t xml:space="preserve"> </w:t>
      </w:r>
      <w:r w:rsidR="00615A22" w:rsidRPr="00615A22">
        <w:rPr>
          <w:i/>
          <w:lang w:val="en-US"/>
        </w:rPr>
        <w:t>Journal of Survey Statistics and Methodology</w:t>
      </w:r>
      <w:r>
        <w:rPr>
          <w:lang w:val="en-US"/>
        </w:rPr>
        <w:t>, 6</w:t>
      </w:r>
      <w:r w:rsidR="00615A22" w:rsidRPr="00615A22">
        <w:rPr>
          <w:lang w:val="en-US"/>
        </w:rPr>
        <w:t>,</w:t>
      </w:r>
      <w:r>
        <w:rPr>
          <w:lang w:val="en-US"/>
        </w:rPr>
        <w:t xml:space="preserve"> 2, 186-211.</w:t>
      </w:r>
      <w:bookmarkStart w:id="0" w:name="_GoBack"/>
      <w:bookmarkEnd w:id="0"/>
    </w:p>
    <w:p w:rsidR="00615A22" w:rsidRPr="00615A22" w:rsidRDefault="00615A22" w:rsidP="00615A22">
      <w:pPr>
        <w:rPr>
          <w:lang w:val="en-US"/>
        </w:rPr>
      </w:pPr>
    </w:p>
    <w:p w:rsidR="00615A22" w:rsidRPr="00615A22" w:rsidRDefault="00615A22" w:rsidP="00615A22">
      <w:pPr>
        <w:rPr>
          <w:lang w:val="en-GB"/>
        </w:rPr>
      </w:pPr>
    </w:p>
    <w:p w:rsidR="00615A22" w:rsidRPr="00615A22" w:rsidRDefault="00615A22" w:rsidP="00615A22">
      <w:pPr>
        <w:rPr>
          <w:lang w:val="en-GB"/>
        </w:rPr>
      </w:pPr>
    </w:p>
    <w:p w:rsidR="00615A22" w:rsidRPr="00615A22" w:rsidRDefault="00615A22" w:rsidP="006527E6">
      <w:pPr>
        <w:rPr>
          <w:lang w:val="en-GB"/>
        </w:rPr>
      </w:pPr>
    </w:p>
    <w:p w:rsidR="00615A22" w:rsidRDefault="00615A22" w:rsidP="006527E6">
      <w:pPr>
        <w:rPr>
          <w:b/>
          <w:lang w:val="en-GB"/>
        </w:rPr>
      </w:pPr>
    </w:p>
    <w:p w:rsidR="00615A22" w:rsidRPr="00572FE4" w:rsidRDefault="00615A22" w:rsidP="006527E6">
      <w:pPr>
        <w:rPr>
          <w:b/>
          <w:lang w:val="en-GB"/>
        </w:rPr>
      </w:pPr>
    </w:p>
    <w:sectPr w:rsidR="00615A22" w:rsidRPr="00572FE4" w:rsidSect="00B47D2B">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CFE"/>
    <w:multiLevelType w:val="hybridMultilevel"/>
    <w:tmpl w:val="FAD0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FB2C60"/>
    <w:multiLevelType w:val="multilevel"/>
    <w:tmpl w:val="8190F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
    <w15:presenceInfo w15:providerId="None" w15:userId="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E6"/>
    <w:rsid w:val="00021F42"/>
    <w:rsid w:val="00026275"/>
    <w:rsid w:val="00034819"/>
    <w:rsid w:val="000437FB"/>
    <w:rsid w:val="00052B67"/>
    <w:rsid w:val="00070617"/>
    <w:rsid w:val="000A03DE"/>
    <w:rsid w:val="000B7B67"/>
    <w:rsid w:val="000E6A0D"/>
    <w:rsid w:val="001A7815"/>
    <w:rsid w:val="001B7AD6"/>
    <w:rsid w:val="001D5298"/>
    <w:rsid w:val="001D7509"/>
    <w:rsid w:val="00202917"/>
    <w:rsid w:val="00236C0A"/>
    <w:rsid w:val="002516FD"/>
    <w:rsid w:val="002701BF"/>
    <w:rsid w:val="002D3B74"/>
    <w:rsid w:val="002E1D2C"/>
    <w:rsid w:val="003531B6"/>
    <w:rsid w:val="0038459F"/>
    <w:rsid w:val="003B20AF"/>
    <w:rsid w:val="003B5C78"/>
    <w:rsid w:val="003E424D"/>
    <w:rsid w:val="00421010"/>
    <w:rsid w:val="00485843"/>
    <w:rsid w:val="004961C2"/>
    <w:rsid w:val="004B70BA"/>
    <w:rsid w:val="004E48C5"/>
    <w:rsid w:val="0050611D"/>
    <w:rsid w:val="0053313E"/>
    <w:rsid w:val="00545085"/>
    <w:rsid w:val="00552785"/>
    <w:rsid w:val="00572FE4"/>
    <w:rsid w:val="0058302B"/>
    <w:rsid w:val="005B637B"/>
    <w:rsid w:val="00604923"/>
    <w:rsid w:val="00615A22"/>
    <w:rsid w:val="00615FD6"/>
    <w:rsid w:val="00624FD5"/>
    <w:rsid w:val="006312B5"/>
    <w:rsid w:val="0064661F"/>
    <w:rsid w:val="006527E6"/>
    <w:rsid w:val="0066676D"/>
    <w:rsid w:val="00673248"/>
    <w:rsid w:val="00684597"/>
    <w:rsid w:val="00696F1D"/>
    <w:rsid w:val="006D72A5"/>
    <w:rsid w:val="007254D7"/>
    <w:rsid w:val="007537F5"/>
    <w:rsid w:val="00776F45"/>
    <w:rsid w:val="007B3629"/>
    <w:rsid w:val="007C08FF"/>
    <w:rsid w:val="007E00DC"/>
    <w:rsid w:val="007F3E6B"/>
    <w:rsid w:val="00813041"/>
    <w:rsid w:val="0081685A"/>
    <w:rsid w:val="00871674"/>
    <w:rsid w:val="00874243"/>
    <w:rsid w:val="008B3A05"/>
    <w:rsid w:val="008D0199"/>
    <w:rsid w:val="00951E7C"/>
    <w:rsid w:val="00985EC1"/>
    <w:rsid w:val="009956D7"/>
    <w:rsid w:val="009B325F"/>
    <w:rsid w:val="009F3F96"/>
    <w:rsid w:val="00A2450B"/>
    <w:rsid w:val="00A768D8"/>
    <w:rsid w:val="00AB12FA"/>
    <w:rsid w:val="00B21E12"/>
    <w:rsid w:val="00B373D1"/>
    <w:rsid w:val="00B40FF4"/>
    <w:rsid w:val="00B47D2B"/>
    <w:rsid w:val="00B61ADD"/>
    <w:rsid w:val="00B63968"/>
    <w:rsid w:val="00B9130C"/>
    <w:rsid w:val="00BF2083"/>
    <w:rsid w:val="00C01066"/>
    <w:rsid w:val="00C11093"/>
    <w:rsid w:val="00C23637"/>
    <w:rsid w:val="00C45AEA"/>
    <w:rsid w:val="00C4765F"/>
    <w:rsid w:val="00C55FCD"/>
    <w:rsid w:val="00CC6B0A"/>
    <w:rsid w:val="00D273FB"/>
    <w:rsid w:val="00D501DE"/>
    <w:rsid w:val="00D5506C"/>
    <w:rsid w:val="00DA2DE5"/>
    <w:rsid w:val="00DF6302"/>
    <w:rsid w:val="00E317B6"/>
    <w:rsid w:val="00E44E89"/>
    <w:rsid w:val="00E512BB"/>
    <w:rsid w:val="00EA4E77"/>
    <w:rsid w:val="00EC6B8F"/>
    <w:rsid w:val="00ED029C"/>
    <w:rsid w:val="00ED0D17"/>
    <w:rsid w:val="00EE02EE"/>
    <w:rsid w:val="00F41C91"/>
    <w:rsid w:val="00F63654"/>
    <w:rsid w:val="00F67A6B"/>
    <w:rsid w:val="00FB16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27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527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7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E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527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27E6"/>
    <w:rPr>
      <w:rFonts w:asciiTheme="majorHAnsi" w:eastAsiaTheme="majorEastAsia" w:hAnsiTheme="majorHAnsi" w:cstheme="majorBidi"/>
      <w:b/>
      <w:bCs/>
      <w:color w:val="4F81BD" w:themeColor="accent1"/>
    </w:rPr>
  </w:style>
  <w:style w:type="table" w:styleId="TableGrid">
    <w:name w:val="Table Grid"/>
    <w:basedOn w:val="TableNormal"/>
    <w:uiPriority w:val="59"/>
    <w:rsid w:val="0065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066"/>
    <w:pPr>
      <w:ind w:left="720"/>
      <w:contextualSpacing/>
    </w:pPr>
  </w:style>
  <w:style w:type="paragraph" w:styleId="BalloonText">
    <w:name w:val="Balloon Text"/>
    <w:basedOn w:val="Normal"/>
    <w:link w:val="BalloonTextChar"/>
    <w:uiPriority w:val="99"/>
    <w:semiHidden/>
    <w:unhideWhenUsed/>
    <w:rsid w:val="007C08FF"/>
    <w:rPr>
      <w:rFonts w:ascii="Tahoma" w:hAnsi="Tahoma" w:cs="Tahoma"/>
      <w:sz w:val="16"/>
      <w:szCs w:val="16"/>
    </w:rPr>
  </w:style>
  <w:style w:type="character" w:customStyle="1" w:styleId="BalloonTextChar">
    <w:name w:val="Balloon Text Char"/>
    <w:basedOn w:val="DefaultParagraphFont"/>
    <w:link w:val="BalloonText"/>
    <w:uiPriority w:val="99"/>
    <w:semiHidden/>
    <w:rsid w:val="007C08FF"/>
    <w:rPr>
      <w:rFonts w:ascii="Tahoma" w:hAnsi="Tahoma" w:cs="Tahoma"/>
      <w:sz w:val="16"/>
      <w:szCs w:val="16"/>
    </w:rPr>
  </w:style>
  <w:style w:type="character" w:styleId="Hyperlink">
    <w:name w:val="Hyperlink"/>
    <w:basedOn w:val="DefaultParagraphFont"/>
    <w:uiPriority w:val="99"/>
    <w:unhideWhenUsed/>
    <w:rsid w:val="00615A22"/>
    <w:rPr>
      <w:color w:val="0000FF" w:themeColor="hyperlink"/>
      <w:u w:val="single"/>
    </w:rPr>
  </w:style>
  <w:style w:type="character" w:styleId="CommentReference">
    <w:name w:val="annotation reference"/>
    <w:basedOn w:val="DefaultParagraphFont"/>
    <w:uiPriority w:val="99"/>
    <w:semiHidden/>
    <w:unhideWhenUsed/>
    <w:rsid w:val="00C45AEA"/>
    <w:rPr>
      <w:sz w:val="16"/>
      <w:szCs w:val="16"/>
    </w:rPr>
  </w:style>
  <w:style w:type="paragraph" w:styleId="CommentText">
    <w:name w:val="annotation text"/>
    <w:basedOn w:val="Normal"/>
    <w:link w:val="CommentTextChar"/>
    <w:uiPriority w:val="99"/>
    <w:semiHidden/>
    <w:unhideWhenUsed/>
    <w:rsid w:val="00C45AEA"/>
    <w:rPr>
      <w:sz w:val="20"/>
      <w:szCs w:val="20"/>
    </w:rPr>
  </w:style>
  <w:style w:type="character" w:customStyle="1" w:styleId="CommentTextChar">
    <w:name w:val="Comment Text Char"/>
    <w:basedOn w:val="DefaultParagraphFont"/>
    <w:link w:val="CommentText"/>
    <w:uiPriority w:val="99"/>
    <w:semiHidden/>
    <w:rsid w:val="00C45AEA"/>
    <w:rPr>
      <w:sz w:val="20"/>
      <w:szCs w:val="20"/>
    </w:rPr>
  </w:style>
  <w:style w:type="paragraph" w:styleId="CommentSubject">
    <w:name w:val="annotation subject"/>
    <w:basedOn w:val="CommentText"/>
    <w:next w:val="CommentText"/>
    <w:link w:val="CommentSubjectChar"/>
    <w:uiPriority w:val="99"/>
    <w:semiHidden/>
    <w:unhideWhenUsed/>
    <w:rsid w:val="00C45AEA"/>
    <w:rPr>
      <w:b/>
      <w:bCs/>
    </w:rPr>
  </w:style>
  <w:style w:type="character" w:customStyle="1" w:styleId="CommentSubjectChar">
    <w:name w:val="Comment Subject Char"/>
    <w:basedOn w:val="CommentTextChar"/>
    <w:link w:val="CommentSubject"/>
    <w:uiPriority w:val="99"/>
    <w:semiHidden/>
    <w:rsid w:val="00C45A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27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527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7E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E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527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27E6"/>
    <w:rPr>
      <w:rFonts w:asciiTheme="majorHAnsi" w:eastAsiaTheme="majorEastAsia" w:hAnsiTheme="majorHAnsi" w:cstheme="majorBidi"/>
      <w:b/>
      <w:bCs/>
      <w:color w:val="4F81BD" w:themeColor="accent1"/>
    </w:rPr>
  </w:style>
  <w:style w:type="table" w:styleId="TableGrid">
    <w:name w:val="Table Grid"/>
    <w:basedOn w:val="TableNormal"/>
    <w:uiPriority w:val="59"/>
    <w:rsid w:val="0065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066"/>
    <w:pPr>
      <w:ind w:left="720"/>
      <w:contextualSpacing/>
    </w:pPr>
  </w:style>
  <w:style w:type="paragraph" w:styleId="BalloonText">
    <w:name w:val="Balloon Text"/>
    <w:basedOn w:val="Normal"/>
    <w:link w:val="BalloonTextChar"/>
    <w:uiPriority w:val="99"/>
    <w:semiHidden/>
    <w:unhideWhenUsed/>
    <w:rsid w:val="007C08FF"/>
    <w:rPr>
      <w:rFonts w:ascii="Tahoma" w:hAnsi="Tahoma" w:cs="Tahoma"/>
      <w:sz w:val="16"/>
      <w:szCs w:val="16"/>
    </w:rPr>
  </w:style>
  <w:style w:type="character" w:customStyle="1" w:styleId="BalloonTextChar">
    <w:name w:val="Balloon Text Char"/>
    <w:basedOn w:val="DefaultParagraphFont"/>
    <w:link w:val="BalloonText"/>
    <w:uiPriority w:val="99"/>
    <w:semiHidden/>
    <w:rsid w:val="007C08FF"/>
    <w:rPr>
      <w:rFonts w:ascii="Tahoma" w:hAnsi="Tahoma" w:cs="Tahoma"/>
      <w:sz w:val="16"/>
      <w:szCs w:val="16"/>
    </w:rPr>
  </w:style>
  <w:style w:type="character" w:styleId="Hyperlink">
    <w:name w:val="Hyperlink"/>
    <w:basedOn w:val="DefaultParagraphFont"/>
    <w:uiPriority w:val="99"/>
    <w:unhideWhenUsed/>
    <w:rsid w:val="00615A22"/>
    <w:rPr>
      <w:color w:val="0000FF" w:themeColor="hyperlink"/>
      <w:u w:val="single"/>
    </w:rPr>
  </w:style>
  <w:style w:type="character" w:styleId="CommentReference">
    <w:name w:val="annotation reference"/>
    <w:basedOn w:val="DefaultParagraphFont"/>
    <w:uiPriority w:val="99"/>
    <w:semiHidden/>
    <w:unhideWhenUsed/>
    <w:rsid w:val="00C45AEA"/>
    <w:rPr>
      <w:sz w:val="16"/>
      <w:szCs w:val="16"/>
    </w:rPr>
  </w:style>
  <w:style w:type="paragraph" w:styleId="CommentText">
    <w:name w:val="annotation text"/>
    <w:basedOn w:val="Normal"/>
    <w:link w:val="CommentTextChar"/>
    <w:uiPriority w:val="99"/>
    <w:semiHidden/>
    <w:unhideWhenUsed/>
    <w:rsid w:val="00C45AEA"/>
    <w:rPr>
      <w:sz w:val="20"/>
      <w:szCs w:val="20"/>
    </w:rPr>
  </w:style>
  <w:style w:type="character" w:customStyle="1" w:styleId="CommentTextChar">
    <w:name w:val="Comment Text Char"/>
    <w:basedOn w:val="DefaultParagraphFont"/>
    <w:link w:val="CommentText"/>
    <w:uiPriority w:val="99"/>
    <w:semiHidden/>
    <w:rsid w:val="00C45AEA"/>
    <w:rPr>
      <w:sz w:val="20"/>
      <w:szCs w:val="20"/>
    </w:rPr>
  </w:style>
  <w:style w:type="paragraph" w:styleId="CommentSubject">
    <w:name w:val="annotation subject"/>
    <w:basedOn w:val="CommentText"/>
    <w:next w:val="CommentText"/>
    <w:link w:val="CommentSubjectChar"/>
    <w:uiPriority w:val="99"/>
    <w:semiHidden/>
    <w:unhideWhenUsed/>
    <w:rsid w:val="00C45AEA"/>
    <w:rPr>
      <w:b/>
      <w:bCs/>
    </w:rPr>
  </w:style>
  <w:style w:type="character" w:customStyle="1" w:styleId="CommentSubjectChar">
    <w:name w:val="Comment Subject Char"/>
    <w:basedOn w:val="CommentTextChar"/>
    <w:link w:val="CommentSubject"/>
    <w:uiPriority w:val="99"/>
    <w:semiHidden/>
    <w:rsid w:val="00C45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hyperlink" Target="https://www.aapor.org/AAPOR_Main/media/publications/Standard-Definitions20169theditionfinal.pdf" TargetMode="Externa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4157</Words>
  <Characters>23698</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Edith</cp:lastModifiedBy>
  <cp:revision>10</cp:revision>
  <cp:lastPrinted>2018-06-12T11:12:00Z</cp:lastPrinted>
  <dcterms:created xsi:type="dcterms:W3CDTF">2018-06-29T11:18:00Z</dcterms:created>
  <dcterms:modified xsi:type="dcterms:W3CDTF">2018-07-03T11:00:00Z</dcterms:modified>
</cp:coreProperties>
</file>