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910" w:rsidRPr="00260D54" w:rsidRDefault="00075E5F" w:rsidP="009B50AA">
      <w:pPr>
        <w:pStyle w:val="Heading1"/>
        <w:rPr>
          <w:rFonts w:asciiTheme="minorHAnsi" w:hAnsiTheme="minorHAnsi"/>
          <w:lang w:val="en-GB"/>
        </w:rPr>
      </w:pPr>
      <w:r w:rsidRPr="00260D54">
        <w:rPr>
          <w:rFonts w:asciiTheme="minorHAnsi" w:hAnsiTheme="minorHAnsi"/>
          <w:lang w:val="en-GB"/>
        </w:rPr>
        <w:t xml:space="preserve">Results </w:t>
      </w:r>
      <w:r w:rsidR="009B50AA" w:rsidRPr="00260D54">
        <w:rPr>
          <w:rFonts w:asciiTheme="minorHAnsi" w:hAnsiTheme="minorHAnsi"/>
          <w:lang w:val="en-GB"/>
        </w:rPr>
        <w:t xml:space="preserve">of the </w:t>
      </w:r>
      <w:r w:rsidR="00E2173D" w:rsidRPr="00260D54">
        <w:rPr>
          <w:rFonts w:asciiTheme="minorHAnsi" w:hAnsiTheme="minorHAnsi"/>
          <w:lang w:val="en-GB"/>
        </w:rPr>
        <w:t xml:space="preserve">(new) </w:t>
      </w:r>
      <w:r w:rsidR="009B50AA" w:rsidRPr="00260D54">
        <w:rPr>
          <w:rFonts w:asciiTheme="minorHAnsi" w:hAnsiTheme="minorHAnsi"/>
          <w:lang w:val="en-GB"/>
        </w:rPr>
        <w:t xml:space="preserve">International Questionnaire on </w:t>
      </w:r>
      <w:r w:rsidR="0038404F" w:rsidRPr="00260D54">
        <w:rPr>
          <w:rFonts w:asciiTheme="minorHAnsi" w:hAnsiTheme="minorHAnsi"/>
          <w:lang w:val="en-GB"/>
        </w:rPr>
        <w:t>Non-response: response of the LFS</w:t>
      </w:r>
      <w:r w:rsidR="009B50AA" w:rsidRPr="00260D54">
        <w:rPr>
          <w:rFonts w:asciiTheme="minorHAnsi" w:hAnsiTheme="minorHAnsi"/>
          <w:lang w:val="en-GB"/>
        </w:rPr>
        <w:t xml:space="preserve"> </w:t>
      </w:r>
      <w:r w:rsidRPr="00260D54">
        <w:rPr>
          <w:rFonts w:asciiTheme="minorHAnsi" w:hAnsiTheme="minorHAnsi"/>
          <w:lang w:val="en-GB"/>
        </w:rPr>
        <w:t>and other surveys</w:t>
      </w:r>
    </w:p>
    <w:p w:rsidR="009B50AA" w:rsidRDefault="009B50AA" w:rsidP="009B50AA">
      <w:pPr>
        <w:pStyle w:val="Heading2"/>
        <w:rPr>
          <w:rFonts w:asciiTheme="minorHAnsi" w:hAnsiTheme="minorHAnsi"/>
        </w:rPr>
      </w:pPr>
      <w:r w:rsidRPr="00260D54">
        <w:rPr>
          <w:rFonts w:asciiTheme="minorHAnsi" w:hAnsiTheme="minorHAnsi"/>
        </w:rPr>
        <w:t>Annemieke Luiten</w:t>
      </w:r>
      <w:r w:rsidR="00260D54">
        <w:rPr>
          <w:rStyle w:val="FootnoteReference"/>
          <w:rFonts w:asciiTheme="minorHAnsi" w:hAnsiTheme="minorHAnsi"/>
        </w:rPr>
        <w:footnoteReference w:id="1"/>
      </w:r>
      <w:r w:rsidRPr="00260D54">
        <w:rPr>
          <w:rFonts w:asciiTheme="minorHAnsi" w:hAnsiTheme="minorHAnsi"/>
        </w:rPr>
        <w:t>, Edith de Leeuw</w:t>
      </w:r>
      <w:r w:rsidR="00260D54">
        <w:rPr>
          <w:rStyle w:val="FootnoteReference"/>
          <w:rFonts w:asciiTheme="minorHAnsi" w:hAnsiTheme="minorHAnsi"/>
        </w:rPr>
        <w:footnoteReference w:id="2"/>
      </w:r>
      <w:r w:rsidRPr="00260D54">
        <w:rPr>
          <w:rFonts w:asciiTheme="minorHAnsi" w:hAnsiTheme="minorHAnsi"/>
        </w:rPr>
        <w:t xml:space="preserve"> </w:t>
      </w:r>
      <w:proofErr w:type="spellStart"/>
      <w:r w:rsidRPr="00260D54">
        <w:rPr>
          <w:rFonts w:asciiTheme="minorHAnsi" w:hAnsiTheme="minorHAnsi"/>
        </w:rPr>
        <w:t>and</w:t>
      </w:r>
      <w:proofErr w:type="spellEnd"/>
      <w:r w:rsidRPr="00260D54">
        <w:rPr>
          <w:rFonts w:asciiTheme="minorHAnsi" w:hAnsiTheme="minorHAnsi"/>
        </w:rPr>
        <w:t xml:space="preserve"> Joop Hox</w:t>
      </w:r>
      <w:r w:rsidR="00B05379" w:rsidRPr="00B05379">
        <w:rPr>
          <w:rFonts w:asciiTheme="minorHAnsi" w:hAnsiTheme="minorHAnsi"/>
          <w:vertAlign w:val="superscript"/>
        </w:rPr>
        <w:t>2</w:t>
      </w:r>
    </w:p>
    <w:p w:rsidR="00B05379" w:rsidRPr="00B05379" w:rsidRDefault="00B05379" w:rsidP="00B05379"/>
    <w:p w:rsidR="00061CF2" w:rsidRPr="00260D54" w:rsidRDefault="00061CF2" w:rsidP="00061CF2">
      <w:pPr>
        <w:pStyle w:val="Heading3"/>
        <w:rPr>
          <w:rFonts w:asciiTheme="minorHAnsi" w:hAnsiTheme="minorHAnsi"/>
          <w:lang w:val="en-GB"/>
        </w:rPr>
      </w:pPr>
      <w:r w:rsidRPr="00260D54">
        <w:rPr>
          <w:rFonts w:asciiTheme="minorHAnsi" w:hAnsiTheme="minorHAnsi"/>
          <w:lang w:val="en-GB"/>
        </w:rPr>
        <w:t>Introduction</w:t>
      </w:r>
    </w:p>
    <w:p w:rsidR="00AF136F" w:rsidRPr="00260D54" w:rsidRDefault="00E2173D" w:rsidP="00E2173D">
      <w:pPr>
        <w:jc w:val="both"/>
        <w:rPr>
          <w:lang w:val="en-GB"/>
        </w:rPr>
      </w:pPr>
      <w:r w:rsidRPr="00260D54">
        <w:rPr>
          <w:lang w:val="en-GB"/>
        </w:rPr>
        <w:t xml:space="preserve">Many survey researchers claim that response rates have been steadily falling over the last decades. There are a few international overview studies, but they are either somewhat outdated or tell an incomplete story. Over the last two decades the communication with survey respondents has changed to a wide variety of survey modes and combinations of survey modes. </w:t>
      </w:r>
      <w:r w:rsidR="00AF136F" w:rsidRPr="00260D54">
        <w:rPr>
          <w:lang w:val="en-GB"/>
        </w:rPr>
        <w:t xml:space="preserve">Do </w:t>
      </w:r>
      <w:r w:rsidRPr="00260D54">
        <w:rPr>
          <w:lang w:val="en-GB"/>
        </w:rPr>
        <w:t xml:space="preserve">these changing data collection methods result in a </w:t>
      </w:r>
      <w:r w:rsidR="00AF136F" w:rsidRPr="00260D54">
        <w:rPr>
          <w:lang w:val="en-GB"/>
        </w:rPr>
        <w:t xml:space="preserve">different </w:t>
      </w:r>
      <w:r w:rsidRPr="00260D54">
        <w:rPr>
          <w:lang w:val="en-GB"/>
        </w:rPr>
        <w:t>picture</w:t>
      </w:r>
      <w:r w:rsidR="00AF136F" w:rsidRPr="00260D54">
        <w:rPr>
          <w:lang w:val="en-GB"/>
        </w:rPr>
        <w:t xml:space="preserve">? </w:t>
      </w:r>
    </w:p>
    <w:p w:rsidR="00E2173D" w:rsidRPr="00260D54" w:rsidRDefault="00AF136F" w:rsidP="00E2173D">
      <w:pPr>
        <w:jc w:val="both"/>
        <w:rPr>
          <w:lang w:val="en-GB"/>
        </w:rPr>
      </w:pPr>
      <w:r w:rsidRPr="00260D54">
        <w:rPr>
          <w:lang w:val="en-GB"/>
        </w:rPr>
        <w:t xml:space="preserve">During the 2015 Workshop, it was decided to </w:t>
      </w:r>
      <w:r w:rsidR="00E2173D" w:rsidRPr="00260D54">
        <w:rPr>
          <w:lang w:val="en-GB"/>
        </w:rPr>
        <w:t xml:space="preserve">revive the comparison of international time series of response rates (De Leeuw and De Heer 2002) and </w:t>
      </w:r>
      <w:r w:rsidRPr="00260D54">
        <w:rPr>
          <w:lang w:val="en-GB"/>
        </w:rPr>
        <w:t xml:space="preserve">perform a new </w:t>
      </w:r>
      <w:r w:rsidR="00E2173D" w:rsidRPr="00260D54">
        <w:rPr>
          <w:lang w:val="en-GB"/>
        </w:rPr>
        <w:t xml:space="preserve">investigation into response rate. </w:t>
      </w:r>
    </w:p>
    <w:p w:rsidR="00CD4C51" w:rsidRPr="00260D54" w:rsidRDefault="00AF136F" w:rsidP="00AF136F">
      <w:pPr>
        <w:tabs>
          <w:tab w:val="num" w:pos="720"/>
        </w:tabs>
        <w:rPr>
          <w:lang w:val="en-GB"/>
        </w:rPr>
      </w:pPr>
      <w:r w:rsidRPr="00260D54">
        <w:rPr>
          <w:lang w:val="en-GB"/>
        </w:rPr>
        <w:t xml:space="preserve">The first initiative to compare international data on non-response was taken </w:t>
      </w:r>
      <w:r w:rsidR="00CD4C51" w:rsidRPr="00260D54">
        <w:rPr>
          <w:lang w:val="en-GB"/>
        </w:rPr>
        <w:t>in the first Workshop on Household Survey Non-response in 1990</w:t>
      </w:r>
      <w:r w:rsidRPr="00260D54">
        <w:rPr>
          <w:lang w:val="en-GB"/>
        </w:rPr>
        <w:t xml:space="preserve">. Data collection was </w:t>
      </w:r>
      <w:proofErr w:type="gramStart"/>
      <w:r w:rsidR="0038404F" w:rsidRPr="00260D54">
        <w:rPr>
          <w:lang w:val="en-GB"/>
        </w:rPr>
        <w:t xml:space="preserve">performed </w:t>
      </w:r>
      <w:r w:rsidRPr="00260D54">
        <w:rPr>
          <w:lang w:val="en-GB"/>
        </w:rPr>
        <w:t xml:space="preserve"> yearly</w:t>
      </w:r>
      <w:proofErr w:type="gramEnd"/>
      <w:r w:rsidRPr="00260D54">
        <w:rPr>
          <w:lang w:val="en-GB"/>
        </w:rPr>
        <w:t xml:space="preserve"> from 1991 to 1997. </w:t>
      </w:r>
      <w:r w:rsidR="000E19C2" w:rsidRPr="00260D54">
        <w:rPr>
          <w:lang w:val="en-GB"/>
        </w:rPr>
        <w:t xml:space="preserve">In the first year, retrospective time series were inventoried.  </w:t>
      </w:r>
      <w:r w:rsidRPr="00260D54">
        <w:rPr>
          <w:lang w:val="en-GB"/>
        </w:rPr>
        <w:t xml:space="preserve">The 16 NSI’s that participated provided data from time series as long back as 1972. </w:t>
      </w:r>
      <w:r w:rsidR="00A30EF3" w:rsidRPr="00260D54">
        <w:rPr>
          <w:lang w:val="en-GB"/>
        </w:rPr>
        <w:t xml:space="preserve">De Leeuw and de Heer (2002), who analysed the data of these time </w:t>
      </w:r>
      <w:proofErr w:type="gramStart"/>
      <w:r w:rsidR="00A30EF3" w:rsidRPr="00260D54">
        <w:rPr>
          <w:lang w:val="en-GB"/>
        </w:rPr>
        <w:t>series ,</w:t>
      </w:r>
      <w:proofErr w:type="gramEnd"/>
      <w:r w:rsidR="00A30EF3" w:rsidRPr="00260D54">
        <w:rPr>
          <w:lang w:val="en-GB"/>
        </w:rPr>
        <w:t xml:space="preserve"> showed that response rates declined over the years, with refusal rates increasing with 0.3% per year, and contact rates declining with 0.2% per year.  </w:t>
      </w:r>
    </w:p>
    <w:p w:rsidR="00061CF2" w:rsidRPr="00260D54" w:rsidRDefault="00A30EF3" w:rsidP="00AF136F">
      <w:pPr>
        <w:tabs>
          <w:tab w:val="num" w:pos="720"/>
        </w:tabs>
        <w:rPr>
          <w:lang w:val="en-GB"/>
        </w:rPr>
      </w:pPr>
      <w:r w:rsidRPr="00260D54">
        <w:rPr>
          <w:lang w:val="en-GB"/>
        </w:rPr>
        <w:t xml:space="preserve">The analysis also showed that there were substantial differences between countries and surveys in the amount of (non-)response, refusal and (non-)contact. The original Non-response Questionnaire was designed to shed light on these differences, by </w:t>
      </w:r>
      <w:r w:rsidR="00061CF2" w:rsidRPr="00260D54">
        <w:rPr>
          <w:lang w:val="en-GB"/>
        </w:rPr>
        <w:t xml:space="preserve">inventorying </w:t>
      </w:r>
      <w:r w:rsidRPr="00260D54">
        <w:rPr>
          <w:lang w:val="en-GB"/>
        </w:rPr>
        <w:t>relevant design aspects</w:t>
      </w:r>
      <w:r w:rsidR="00061CF2" w:rsidRPr="00260D54">
        <w:rPr>
          <w:lang w:val="en-GB"/>
        </w:rPr>
        <w:t xml:space="preserve"> like rules of respondent selection, refusal conversion, </w:t>
      </w:r>
      <w:proofErr w:type="gramStart"/>
      <w:r w:rsidR="00061CF2" w:rsidRPr="00260D54">
        <w:rPr>
          <w:lang w:val="en-GB"/>
        </w:rPr>
        <w:t>substitution</w:t>
      </w:r>
      <w:proofErr w:type="gramEnd"/>
      <w:r w:rsidR="00061CF2" w:rsidRPr="00260D54">
        <w:rPr>
          <w:lang w:val="en-GB"/>
        </w:rPr>
        <w:t xml:space="preserve"> or interviewer employment</w:t>
      </w:r>
      <w:r w:rsidRPr="00260D54">
        <w:rPr>
          <w:lang w:val="en-GB"/>
        </w:rPr>
        <w:t>.</w:t>
      </w:r>
    </w:p>
    <w:p w:rsidR="00A30EF3" w:rsidRPr="00260D54" w:rsidRDefault="00061CF2" w:rsidP="00AF136F">
      <w:pPr>
        <w:tabs>
          <w:tab w:val="num" w:pos="720"/>
        </w:tabs>
        <w:rPr>
          <w:lang w:val="en-GB"/>
        </w:rPr>
      </w:pPr>
      <w:r w:rsidRPr="00260D54">
        <w:rPr>
          <w:lang w:val="en-GB"/>
        </w:rPr>
        <w:t xml:space="preserve">The new Questionnaire replicated the old one as far as relevant, and added elements like mixed mode data collection, fieldwork effort and fieldwork costs. </w:t>
      </w:r>
      <w:r w:rsidR="00A30EF3" w:rsidRPr="00260D54">
        <w:rPr>
          <w:lang w:val="en-GB"/>
        </w:rPr>
        <w:t xml:space="preserve">  </w:t>
      </w:r>
      <w:r w:rsidRPr="00260D54">
        <w:rPr>
          <w:lang w:val="en-GB"/>
        </w:rPr>
        <w:t xml:space="preserve">The (paper) questionnaire was sent to all European </w:t>
      </w:r>
      <w:r w:rsidR="008A6DFD" w:rsidRPr="00260D54">
        <w:rPr>
          <w:lang w:val="en-GB"/>
        </w:rPr>
        <w:t>NSI’s</w:t>
      </w:r>
      <w:r w:rsidRPr="00260D54">
        <w:rPr>
          <w:lang w:val="en-GB"/>
        </w:rPr>
        <w:t xml:space="preserve">, as well as </w:t>
      </w:r>
      <w:r w:rsidR="0038404F" w:rsidRPr="00260D54">
        <w:rPr>
          <w:lang w:val="en-GB"/>
        </w:rPr>
        <w:t xml:space="preserve">some </w:t>
      </w:r>
      <w:r w:rsidRPr="00260D54">
        <w:rPr>
          <w:lang w:val="en-GB"/>
        </w:rPr>
        <w:t xml:space="preserve">non-European other countries, like Australia, New Zealand, Canada and the USA. We tried to include </w:t>
      </w:r>
      <w:proofErr w:type="gramStart"/>
      <w:r w:rsidRPr="00260D54">
        <w:rPr>
          <w:lang w:val="en-GB"/>
        </w:rPr>
        <w:t>non-NSI’s</w:t>
      </w:r>
      <w:proofErr w:type="gramEnd"/>
      <w:r w:rsidRPr="00260D54">
        <w:rPr>
          <w:lang w:val="en-GB"/>
        </w:rPr>
        <w:t xml:space="preserve"> in the query</w:t>
      </w:r>
      <w:r w:rsidR="00155791" w:rsidRPr="00260D54">
        <w:rPr>
          <w:lang w:val="en-GB"/>
        </w:rPr>
        <w:t xml:space="preserve">, and succeeded in a number of cases. </w:t>
      </w:r>
      <w:r w:rsidR="008A6DFD" w:rsidRPr="00260D54">
        <w:rPr>
          <w:lang w:val="en-GB"/>
        </w:rPr>
        <w:t xml:space="preserve">NSI’s </w:t>
      </w:r>
      <w:r w:rsidR="00155791" w:rsidRPr="00260D54">
        <w:rPr>
          <w:lang w:val="en-GB"/>
        </w:rPr>
        <w:t xml:space="preserve">were asked to </w:t>
      </w:r>
      <w:r w:rsidR="008A6DFD" w:rsidRPr="00260D54">
        <w:rPr>
          <w:lang w:val="en-GB"/>
        </w:rPr>
        <w:t>provide data for the L</w:t>
      </w:r>
      <w:r w:rsidR="00F85D9E" w:rsidRPr="00260D54">
        <w:rPr>
          <w:lang w:val="en-GB"/>
        </w:rPr>
        <w:t>abour Force Survey (L</w:t>
      </w:r>
      <w:r w:rsidR="008A6DFD" w:rsidRPr="00260D54">
        <w:rPr>
          <w:lang w:val="en-GB"/>
        </w:rPr>
        <w:t>FS</w:t>
      </w:r>
      <w:r w:rsidR="00F85D9E" w:rsidRPr="00260D54">
        <w:rPr>
          <w:lang w:val="en-GB"/>
        </w:rPr>
        <w:t>)</w:t>
      </w:r>
      <w:r w:rsidR="008A6DFD" w:rsidRPr="00260D54">
        <w:rPr>
          <w:lang w:val="en-GB"/>
        </w:rPr>
        <w:t xml:space="preserve"> and one other survey. At the second reminder, we asked for the LFS data only.  </w:t>
      </w:r>
    </w:p>
    <w:p w:rsidR="00061CF2" w:rsidRPr="00260D54" w:rsidRDefault="00155791" w:rsidP="00061CF2">
      <w:pPr>
        <w:jc w:val="both"/>
        <w:rPr>
          <w:lang w:val="en-GB"/>
        </w:rPr>
      </w:pPr>
      <w:r w:rsidRPr="00260D54">
        <w:rPr>
          <w:lang w:val="en-GB"/>
        </w:rPr>
        <w:t xml:space="preserve">Respondents were asked to report on the response, refusal and contact rates from 1998 to 2015. For respondents who were also present in the first query, we thus created </w:t>
      </w:r>
      <w:r w:rsidR="00075E5F" w:rsidRPr="00260D54">
        <w:rPr>
          <w:lang w:val="en-GB"/>
        </w:rPr>
        <w:t xml:space="preserve">a </w:t>
      </w:r>
      <w:r w:rsidR="000E19C2" w:rsidRPr="00260D54">
        <w:rPr>
          <w:lang w:val="en-GB"/>
        </w:rPr>
        <w:t xml:space="preserve">long </w:t>
      </w:r>
      <w:r w:rsidRPr="00260D54">
        <w:rPr>
          <w:lang w:val="en-GB"/>
        </w:rPr>
        <w:t xml:space="preserve">time </w:t>
      </w:r>
      <w:r w:rsidR="00075E5F" w:rsidRPr="00260D54">
        <w:rPr>
          <w:lang w:val="en-GB"/>
        </w:rPr>
        <w:t>series</w:t>
      </w:r>
      <w:r w:rsidR="00726AFF" w:rsidRPr="00260D54">
        <w:rPr>
          <w:lang w:val="en-GB"/>
        </w:rPr>
        <w:t>.</w:t>
      </w:r>
      <w:r w:rsidR="000E19C2" w:rsidRPr="00260D54">
        <w:rPr>
          <w:lang w:val="en-GB"/>
        </w:rPr>
        <w:t xml:space="preserve">  In order to limit the respondent burden, we asked for a description of the 2015 design, and asked respondents to indicate if, and in which years, design changes were implemented.  </w:t>
      </w:r>
    </w:p>
    <w:p w:rsidR="00061CF2" w:rsidRPr="00260D54" w:rsidRDefault="000E19C2" w:rsidP="000E19C2">
      <w:pPr>
        <w:pStyle w:val="Heading3"/>
        <w:rPr>
          <w:rFonts w:asciiTheme="minorHAnsi" w:hAnsiTheme="minorHAnsi"/>
          <w:lang w:val="en-GB"/>
        </w:rPr>
      </w:pPr>
      <w:r w:rsidRPr="00260D54">
        <w:rPr>
          <w:rFonts w:asciiTheme="minorHAnsi" w:hAnsiTheme="minorHAnsi"/>
          <w:lang w:val="en-GB"/>
        </w:rPr>
        <w:t>Results</w:t>
      </w:r>
    </w:p>
    <w:p w:rsidR="00F85D9E" w:rsidRPr="00260D54" w:rsidRDefault="00EB4014" w:rsidP="00C73B4B">
      <w:pPr>
        <w:tabs>
          <w:tab w:val="num" w:pos="720"/>
        </w:tabs>
        <w:rPr>
          <w:lang w:val="en-GB"/>
        </w:rPr>
      </w:pPr>
      <w:r w:rsidRPr="00260D54">
        <w:rPr>
          <w:lang w:val="en-GB"/>
        </w:rPr>
        <w:t>M</w:t>
      </w:r>
      <w:r w:rsidR="000E19C2" w:rsidRPr="00260D54">
        <w:rPr>
          <w:lang w:val="en-GB"/>
        </w:rPr>
        <w:t>ore countries participated in this query than in the first one</w:t>
      </w:r>
      <w:r w:rsidR="00075E5F" w:rsidRPr="00260D54">
        <w:rPr>
          <w:lang w:val="en-GB"/>
        </w:rPr>
        <w:t xml:space="preserve">: </w:t>
      </w:r>
      <w:r w:rsidRPr="00260D54">
        <w:rPr>
          <w:lang w:val="en-GB"/>
        </w:rPr>
        <w:t xml:space="preserve">16 </w:t>
      </w:r>
      <w:r w:rsidR="00E34F1E" w:rsidRPr="00260D54">
        <w:rPr>
          <w:lang w:val="en-GB"/>
        </w:rPr>
        <w:t xml:space="preserve">then, </w:t>
      </w:r>
      <w:r w:rsidRPr="00260D54">
        <w:rPr>
          <w:lang w:val="en-GB"/>
        </w:rPr>
        <w:t>2</w:t>
      </w:r>
      <w:r w:rsidR="00075E5F" w:rsidRPr="00260D54">
        <w:rPr>
          <w:lang w:val="en-GB"/>
        </w:rPr>
        <w:t>5</w:t>
      </w:r>
      <w:r w:rsidR="00E34F1E" w:rsidRPr="00260D54">
        <w:rPr>
          <w:lang w:val="en-GB"/>
        </w:rPr>
        <w:t xml:space="preserve"> now</w:t>
      </w:r>
      <w:r w:rsidR="00075E5F" w:rsidRPr="00260D54">
        <w:rPr>
          <w:lang w:val="en-GB"/>
        </w:rPr>
        <w:t xml:space="preserve">. </w:t>
      </w:r>
      <w:r w:rsidR="00896A59" w:rsidRPr="00260D54">
        <w:rPr>
          <w:lang w:val="en-GB"/>
        </w:rPr>
        <w:t xml:space="preserve">Two time series were received from non-NSIs. Not all respondents were able to complete the entire time series, although the number of years filled in was substantial for most: mean number of years filled in was </w:t>
      </w:r>
      <w:r w:rsidR="00F85D9E" w:rsidRPr="00260D54">
        <w:rPr>
          <w:lang w:val="en-GB"/>
        </w:rPr>
        <w:t xml:space="preserve">15. All respondents reported on the LFS, 13 countries also reported on other surveys, mostly on the HBS (8), </w:t>
      </w:r>
      <w:r w:rsidR="00F85D9E" w:rsidRPr="00260D54">
        <w:rPr>
          <w:lang w:val="en-GB"/>
        </w:rPr>
        <w:lastRenderedPageBreak/>
        <w:t xml:space="preserve">but also on the Survey of Income and Living </w:t>
      </w:r>
      <w:proofErr w:type="gramStart"/>
      <w:r w:rsidR="00F85D9E" w:rsidRPr="00260D54">
        <w:rPr>
          <w:lang w:val="en-GB"/>
        </w:rPr>
        <w:t>Conditions  (</w:t>
      </w:r>
      <w:proofErr w:type="gramEnd"/>
      <w:r w:rsidR="00F85D9E" w:rsidRPr="00260D54">
        <w:rPr>
          <w:lang w:val="en-GB"/>
        </w:rPr>
        <w:t xml:space="preserve">3) and four other surveys. </w:t>
      </w:r>
      <w:r w:rsidR="00896A59" w:rsidRPr="00260D54">
        <w:rPr>
          <w:lang w:val="en-GB"/>
        </w:rPr>
        <w:t xml:space="preserve"> </w:t>
      </w:r>
      <w:r w:rsidR="00F85D9E" w:rsidRPr="00260D54">
        <w:rPr>
          <w:lang w:val="en-GB"/>
        </w:rPr>
        <w:t xml:space="preserve">Finland outdid us all by filling in five questionnaires. </w:t>
      </w:r>
    </w:p>
    <w:p w:rsidR="00796625" w:rsidRPr="00260D54" w:rsidRDefault="00896A59" w:rsidP="00C73B4B">
      <w:pPr>
        <w:tabs>
          <w:tab w:val="num" w:pos="720"/>
        </w:tabs>
        <w:rPr>
          <w:lang w:val="en-GB"/>
        </w:rPr>
      </w:pPr>
      <w:r w:rsidRPr="00260D54">
        <w:rPr>
          <w:lang w:val="en-GB"/>
        </w:rPr>
        <w:t>In th</w:t>
      </w:r>
      <w:r w:rsidR="00075E5F" w:rsidRPr="00260D54">
        <w:rPr>
          <w:lang w:val="en-GB"/>
        </w:rPr>
        <w:t>e</w:t>
      </w:r>
      <w:r w:rsidRPr="00260D54">
        <w:rPr>
          <w:lang w:val="en-GB"/>
        </w:rPr>
        <w:t xml:space="preserve"> first analysis</w:t>
      </w:r>
      <w:r w:rsidR="00075E5F" w:rsidRPr="00260D54">
        <w:rPr>
          <w:lang w:val="en-GB"/>
        </w:rPr>
        <w:t xml:space="preserve">, presented at the workshop in 2016, </w:t>
      </w:r>
      <w:r w:rsidRPr="00260D54">
        <w:rPr>
          <w:lang w:val="en-GB"/>
        </w:rPr>
        <w:t>we concentrate</w:t>
      </w:r>
      <w:r w:rsidR="00B5058A">
        <w:rPr>
          <w:lang w:val="en-GB"/>
        </w:rPr>
        <w:t>d</w:t>
      </w:r>
      <w:r w:rsidRPr="00260D54">
        <w:rPr>
          <w:lang w:val="en-GB"/>
        </w:rPr>
        <w:t xml:space="preserve"> on the findings </w:t>
      </w:r>
      <w:r w:rsidR="0038404F" w:rsidRPr="00260D54">
        <w:rPr>
          <w:lang w:val="en-GB"/>
        </w:rPr>
        <w:t xml:space="preserve">on the response rates of </w:t>
      </w:r>
      <w:r w:rsidRPr="00260D54">
        <w:rPr>
          <w:lang w:val="en-GB"/>
        </w:rPr>
        <w:t xml:space="preserve">the LFS (or non-European equivalent surveys). </w:t>
      </w:r>
      <w:r w:rsidR="00075E5F" w:rsidRPr="00C73B4B">
        <w:rPr>
          <w:lang w:val="en-GB"/>
        </w:rPr>
        <w:t>In the present paper we also include the other social survey provided</w:t>
      </w:r>
      <w:r w:rsidR="00075E5F" w:rsidRPr="00260D54">
        <w:rPr>
          <w:lang w:val="en-GB"/>
        </w:rPr>
        <w:t xml:space="preserve">. </w:t>
      </w:r>
      <w:r w:rsidRPr="00260D54">
        <w:rPr>
          <w:lang w:val="en-GB"/>
        </w:rPr>
        <w:t>We differentiate between voluntary</w:t>
      </w:r>
      <w:r w:rsidR="00484677" w:rsidRPr="00260D54">
        <w:rPr>
          <w:lang w:val="en-GB"/>
        </w:rPr>
        <w:t xml:space="preserve"> and mandatory surveys, as levels and trends proved to be different in the earlier analyses. </w:t>
      </w:r>
      <w:r w:rsidR="002B3062" w:rsidRPr="00260D54">
        <w:rPr>
          <w:lang w:val="en-GB"/>
        </w:rPr>
        <w:t>In the new data, we see th</w:t>
      </w:r>
      <w:r w:rsidR="009632E6" w:rsidRPr="00260D54">
        <w:rPr>
          <w:lang w:val="en-GB"/>
        </w:rPr>
        <w:t>is</w:t>
      </w:r>
      <w:r w:rsidR="002B3062" w:rsidRPr="00260D54">
        <w:rPr>
          <w:lang w:val="en-GB"/>
        </w:rPr>
        <w:t xml:space="preserve"> difference again: </w:t>
      </w:r>
      <w:r w:rsidR="00796625" w:rsidRPr="00260D54">
        <w:rPr>
          <w:lang w:val="en-GB"/>
        </w:rPr>
        <w:t xml:space="preserve">Table 1 shows </w:t>
      </w:r>
      <w:r w:rsidR="00FB2FD4" w:rsidRPr="00260D54">
        <w:rPr>
          <w:lang w:val="en-GB"/>
        </w:rPr>
        <w:t xml:space="preserve">mean and range of </w:t>
      </w:r>
      <w:r w:rsidR="00796625" w:rsidRPr="00260D54">
        <w:rPr>
          <w:lang w:val="en-GB"/>
        </w:rPr>
        <w:t xml:space="preserve">response, refusal and noncontact rates for mandatory LFS, voluntary LFS and the collapsed voluntary other survey. </w:t>
      </w:r>
    </w:p>
    <w:p w:rsidR="00796625" w:rsidRPr="00260D54" w:rsidRDefault="00796625" w:rsidP="00CD4C51">
      <w:pPr>
        <w:pStyle w:val="NoSpacing"/>
        <w:spacing w:line="276" w:lineRule="auto"/>
        <w:rPr>
          <w:lang w:val="en-GB"/>
        </w:rPr>
      </w:pPr>
    </w:p>
    <w:p w:rsidR="00796625" w:rsidRPr="00260D54" w:rsidRDefault="00796625" w:rsidP="00CD4C51">
      <w:pPr>
        <w:pStyle w:val="NoSpacing"/>
        <w:spacing w:line="276" w:lineRule="auto"/>
        <w:rPr>
          <w:b/>
          <w:i/>
          <w:lang w:val="en-GB"/>
        </w:rPr>
      </w:pPr>
      <w:proofErr w:type="gramStart"/>
      <w:r w:rsidRPr="00260D54">
        <w:rPr>
          <w:b/>
          <w:i/>
          <w:lang w:val="en-GB"/>
        </w:rPr>
        <w:t>Table 1.</w:t>
      </w:r>
      <w:proofErr w:type="gramEnd"/>
      <w:r w:rsidRPr="00260D54">
        <w:rPr>
          <w:b/>
          <w:i/>
          <w:lang w:val="en-GB"/>
        </w:rPr>
        <w:t xml:space="preserve"> Response, refusal and noncontact rates for LFS and other survey</w:t>
      </w:r>
      <w:r w:rsidR="009855CE" w:rsidRPr="00260D54">
        <w:rPr>
          <w:b/>
          <w:i/>
          <w:lang w:val="en-GB"/>
        </w:rPr>
        <w:t xml:space="preserve">; </w:t>
      </w:r>
      <w:r w:rsidRPr="00260D54">
        <w:rPr>
          <w:b/>
          <w:i/>
          <w:lang w:val="en-GB"/>
        </w:rPr>
        <w:t xml:space="preserve">mean and </w:t>
      </w:r>
      <w:r w:rsidR="009855CE" w:rsidRPr="00260D54">
        <w:rPr>
          <w:b/>
          <w:i/>
          <w:lang w:val="en-GB"/>
        </w:rPr>
        <w:t>(</w:t>
      </w:r>
      <w:r w:rsidRPr="00260D54">
        <w:rPr>
          <w:b/>
          <w:i/>
          <w:lang w:val="en-GB"/>
        </w:rPr>
        <w:t xml:space="preserve">range) </w:t>
      </w:r>
    </w:p>
    <w:p w:rsidR="00484677" w:rsidRPr="00260D54" w:rsidRDefault="00796625" w:rsidP="00796625">
      <w:pPr>
        <w:pStyle w:val="NoSpacing"/>
        <w:spacing w:line="276" w:lineRule="auto"/>
        <w:rPr>
          <w:lang w:val="en-GB"/>
        </w:rPr>
      </w:pPr>
      <w:r w:rsidRPr="00260D54">
        <w:rPr>
          <w:noProof/>
          <w:lang w:val="en-US"/>
        </w:rPr>
        <w:drawing>
          <wp:inline distT="0" distB="0" distL="0" distR="0" wp14:anchorId="573D55C6" wp14:editId="67106DE3">
            <wp:extent cx="4052570" cy="1302385"/>
            <wp:effectExtent l="0" t="0" r="508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2570" cy="1302385"/>
                    </a:xfrm>
                    <a:prstGeom prst="rect">
                      <a:avLst/>
                    </a:prstGeom>
                    <a:noFill/>
                    <a:ln>
                      <a:noFill/>
                    </a:ln>
                  </pic:spPr>
                </pic:pic>
              </a:graphicData>
            </a:graphic>
          </wp:inline>
        </w:drawing>
      </w:r>
    </w:p>
    <w:p w:rsidR="00E1715D" w:rsidRPr="00260D54" w:rsidRDefault="00E1715D" w:rsidP="00E1715D">
      <w:pPr>
        <w:pStyle w:val="Heading3"/>
        <w:rPr>
          <w:rFonts w:asciiTheme="minorHAnsi" w:hAnsiTheme="minorHAnsi"/>
          <w:lang w:val="en-GB"/>
        </w:rPr>
      </w:pPr>
      <w:r w:rsidRPr="00260D54">
        <w:rPr>
          <w:rFonts w:asciiTheme="minorHAnsi" w:hAnsiTheme="minorHAnsi"/>
          <w:lang w:val="en-GB"/>
        </w:rPr>
        <w:t>Response trends</w:t>
      </w:r>
      <w:r w:rsidR="009855CE" w:rsidRPr="00260D54">
        <w:rPr>
          <w:rFonts w:asciiTheme="minorHAnsi" w:hAnsiTheme="minorHAnsi"/>
          <w:lang w:val="en-GB"/>
        </w:rPr>
        <w:t xml:space="preserve"> LFS</w:t>
      </w:r>
    </w:p>
    <w:p w:rsidR="00362F82" w:rsidRPr="001C474B" w:rsidRDefault="00362F82" w:rsidP="00362F82">
      <w:pPr>
        <w:rPr>
          <w:spacing w:val="-3"/>
          <w:lang w:val="en-GB"/>
        </w:rPr>
      </w:pPr>
      <w:r w:rsidRPr="001C474B">
        <w:rPr>
          <w:spacing w:val="-3"/>
          <w:lang w:val="en-GB"/>
        </w:rPr>
        <w:t xml:space="preserve">We ran a series of </w:t>
      </w:r>
      <w:r w:rsidR="00B812B5" w:rsidRPr="001C474B">
        <w:rPr>
          <w:spacing w:val="-3"/>
          <w:lang w:val="en-GB"/>
        </w:rPr>
        <w:t xml:space="preserve">multilevel repeated measures </w:t>
      </w:r>
      <w:r w:rsidRPr="001C474B">
        <w:rPr>
          <w:spacing w:val="-3"/>
          <w:lang w:val="en-GB"/>
        </w:rPr>
        <w:t xml:space="preserve">models </w:t>
      </w:r>
      <w:r w:rsidR="00B812B5" w:rsidRPr="001C474B">
        <w:rPr>
          <w:spacing w:val="-3"/>
          <w:lang w:val="en-GB"/>
        </w:rPr>
        <w:t>on response</w:t>
      </w:r>
      <w:r w:rsidRPr="001C474B">
        <w:rPr>
          <w:spacing w:val="-3"/>
          <w:lang w:val="en-GB"/>
        </w:rPr>
        <w:t>, refusal and non-contact</w:t>
      </w:r>
      <w:r w:rsidR="00B812B5" w:rsidRPr="001C474B">
        <w:rPr>
          <w:spacing w:val="-3"/>
          <w:lang w:val="en-GB"/>
        </w:rPr>
        <w:t xml:space="preserve"> data</w:t>
      </w:r>
      <w:r w:rsidR="00B5058A">
        <w:rPr>
          <w:spacing w:val="-3"/>
          <w:lang w:val="en-GB"/>
        </w:rPr>
        <w:t>, first on logit</w:t>
      </w:r>
      <w:r w:rsidRPr="001C474B">
        <w:rPr>
          <w:spacing w:val="-3"/>
          <w:lang w:val="en-GB"/>
        </w:rPr>
        <w:t xml:space="preserve"> transf</w:t>
      </w:r>
      <w:r w:rsidR="00B5058A">
        <w:rPr>
          <w:spacing w:val="-3"/>
          <w:lang w:val="en-GB"/>
        </w:rPr>
        <w:t>ormed data, but also on proportions</w:t>
      </w:r>
      <w:r w:rsidRPr="001C474B">
        <w:rPr>
          <w:spacing w:val="-3"/>
          <w:lang w:val="en-GB"/>
        </w:rPr>
        <w:t>, to help interpretation. Both analyses show the same pattern, so we report on the</w:t>
      </w:r>
      <w:r w:rsidR="00B5058A">
        <w:rPr>
          <w:spacing w:val="-3"/>
          <w:lang w:val="en-GB"/>
        </w:rPr>
        <w:t xml:space="preserve"> proportions (reported as percentages)</w:t>
      </w:r>
      <w:r w:rsidRPr="001C474B">
        <w:rPr>
          <w:spacing w:val="-3"/>
          <w:lang w:val="en-GB"/>
        </w:rPr>
        <w:t xml:space="preserve"> here. For all three outcome variables, we ran a multilevel regression model using REML estimation in the MIXED procedure of SPSS 21. Predictors were occasion</w:t>
      </w:r>
      <w:r w:rsidR="00726AFF" w:rsidRPr="001C474B">
        <w:rPr>
          <w:spacing w:val="-3"/>
          <w:lang w:val="en-GB"/>
        </w:rPr>
        <w:t xml:space="preserve"> (year), </w:t>
      </w:r>
      <w:r w:rsidR="00B5058A">
        <w:rPr>
          <w:spacing w:val="-3"/>
          <w:lang w:val="en-GB"/>
        </w:rPr>
        <w:t>transformed so that 1998=0 (start of new data collection)</w:t>
      </w:r>
      <w:r w:rsidRPr="001C474B">
        <w:rPr>
          <w:spacing w:val="-3"/>
          <w:lang w:val="en-GB"/>
        </w:rPr>
        <w:t>, and whether the survey was mandatory or not. All results are significant (except one marked ns) and in the expected direction: response went down over the years, refusals and noncontact rates went up, with comparable extent.</w:t>
      </w:r>
      <w:r w:rsidR="008E749D" w:rsidRPr="001C474B">
        <w:rPr>
          <w:spacing w:val="-3"/>
          <w:lang w:val="en-GB"/>
        </w:rPr>
        <w:t xml:space="preserve"> Mandatory surveys have higher response rates, and lower refusal rates. The difference in noncontact is not significant.</w:t>
      </w:r>
    </w:p>
    <w:tbl>
      <w:tblPr>
        <w:tblW w:w="0" w:type="auto"/>
        <w:jc w:val="center"/>
        <w:tblLook w:val="01E0" w:firstRow="1" w:lastRow="1" w:firstColumn="1" w:lastColumn="1" w:noHBand="0" w:noVBand="0"/>
      </w:tblPr>
      <w:tblGrid>
        <w:gridCol w:w="2263"/>
        <w:gridCol w:w="1862"/>
        <w:gridCol w:w="1863"/>
        <w:gridCol w:w="1863"/>
      </w:tblGrid>
      <w:tr w:rsidR="00362F82" w:rsidRPr="00260D54" w:rsidTr="00362F82">
        <w:trPr>
          <w:jc w:val="center"/>
        </w:trPr>
        <w:tc>
          <w:tcPr>
            <w:tcW w:w="7851" w:type="dxa"/>
            <w:gridSpan w:val="4"/>
            <w:tcBorders>
              <w:bottom w:val="single" w:sz="4" w:space="0" w:color="auto"/>
            </w:tcBorders>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br w:type="page"/>
              <w:t>Table 1. Model on raw outcomes</w:t>
            </w:r>
          </w:p>
        </w:tc>
      </w:tr>
      <w:tr w:rsidR="00362F82" w:rsidRPr="00260D54" w:rsidTr="00362F82">
        <w:trPr>
          <w:jc w:val="center"/>
        </w:trPr>
        <w:tc>
          <w:tcPr>
            <w:tcW w:w="2263" w:type="dxa"/>
            <w:tcBorders>
              <w:top w:val="single" w:sz="4" w:space="0" w:color="auto"/>
              <w:bottom w:val="single" w:sz="4" w:space="0" w:color="auto"/>
            </w:tcBorders>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Model:</w:t>
            </w:r>
          </w:p>
        </w:tc>
        <w:tc>
          <w:tcPr>
            <w:tcW w:w="1862" w:type="dxa"/>
            <w:tcBorders>
              <w:top w:val="single" w:sz="4" w:space="0" w:color="auto"/>
              <w:bottom w:val="single" w:sz="4" w:space="0" w:color="auto"/>
            </w:tcBorders>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Response</w:t>
            </w:r>
          </w:p>
        </w:tc>
        <w:tc>
          <w:tcPr>
            <w:tcW w:w="1863" w:type="dxa"/>
            <w:tcBorders>
              <w:top w:val="single" w:sz="4" w:space="0" w:color="auto"/>
              <w:bottom w:val="single" w:sz="4" w:space="0" w:color="auto"/>
            </w:tcBorders>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Refusal</w:t>
            </w:r>
          </w:p>
        </w:tc>
        <w:tc>
          <w:tcPr>
            <w:tcW w:w="1863" w:type="dxa"/>
            <w:tcBorders>
              <w:top w:val="single" w:sz="4" w:space="0" w:color="auto"/>
              <w:bottom w:val="single" w:sz="4" w:space="0" w:color="auto"/>
            </w:tcBorders>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Noncontact</w:t>
            </w:r>
          </w:p>
        </w:tc>
      </w:tr>
      <w:tr w:rsidR="00362F82" w:rsidRPr="00260D54" w:rsidTr="00362F82">
        <w:trPr>
          <w:jc w:val="center"/>
        </w:trPr>
        <w:tc>
          <w:tcPr>
            <w:tcW w:w="2263" w:type="dxa"/>
            <w:tcBorders>
              <w:top w:val="single" w:sz="4" w:space="0" w:color="auto"/>
            </w:tcBorders>
            <w:shd w:val="clear" w:color="auto" w:fill="auto"/>
            <w:vAlign w:val="center"/>
          </w:tcPr>
          <w:p w:rsidR="00362F82" w:rsidRPr="00260D54" w:rsidRDefault="00362F82" w:rsidP="00362F82">
            <w:pPr>
              <w:spacing w:after="0" w:line="240" w:lineRule="auto"/>
              <w:rPr>
                <w:rFonts w:eastAsia="Times New Roman" w:cs="Times New Roman"/>
                <w:b/>
                <w:szCs w:val="24"/>
                <w:lang w:val="en-US"/>
              </w:rPr>
            </w:pPr>
            <w:r w:rsidRPr="00260D54">
              <w:rPr>
                <w:rFonts w:eastAsia="Times New Roman" w:cs="Times New Roman"/>
                <w:b/>
                <w:szCs w:val="24"/>
                <w:lang w:val="en-US"/>
              </w:rPr>
              <w:t>Fixed part</w:t>
            </w:r>
          </w:p>
        </w:tc>
        <w:tc>
          <w:tcPr>
            <w:tcW w:w="1862" w:type="dxa"/>
            <w:tcBorders>
              <w:top w:val="single" w:sz="4" w:space="0" w:color="auto"/>
            </w:tcBorders>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Coefficient</w:t>
            </w:r>
          </w:p>
        </w:tc>
        <w:tc>
          <w:tcPr>
            <w:tcW w:w="1863" w:type="dxa"/>
            <w:tcBorders>
              <w:top w:val="single" w:sz="4" w:space="0" w:color="auto"/>
            </w:tcBorders>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Coefficient</w:t>
            </w:r>
          </w:p>
        </w:tc>
        <w:tc>
          <w:tcPr>
            <w:tcW w:w="1863" w:type="dxa"/>
            <w:tcBorders>
              <w:top w:val="single" w:sz="4" w:space="0" w:color="auto"/>
            </w:tcBorders>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Coefficient</w:t>
            </w:r>
          </w:p>
        </w:tc>
      </w:tr>
      <w:tr w:rsidR="00362F82" w:rsidRPr="00260D54" w:rsidTr="00362F82">
        <w:trPr>
          <w:jc w:val="center"/>
        </w:trPr>
        <w:tc>
          <w:tcPr>
            <w:tcW w:w="22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Intercept</w:t>
            </w:r>
          </w:p>
        </w:tc>
        <w:tc>
          <w:tcPr>
            <w:tcW w:w="1862"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54.85</w:t>
            </w:r>
          </w:p>
        </w:tc>
        <w:tc>
          <w:tcPr>
            <w:tcW w:w="18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28.00</w:t>
            </w:r>
          </w:p>
        </w:tc>
        <w:tc>
          <w:tcPr>
            <w:tcW w:w="18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14.45</w:t>
            </w:r>
          </w:p>
        </w:tc>
      </w:tr>
      <w:tr w:rsidR="00362F82" w:rsidRPr="00260D54" w:rsidTr="00362F82">
        <w:trPr>
          <w:jc w:val="center"/>
        </w:trPr>
        <w:tc>
          <w:tcPr>
            <w:tcW w:w="22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Occasion (year)</w:t>
            </w:r>
          </w:p>
        </w:tc>
        <w:tc>
          <w:tcPr>
            <w:tcW w:w="1862"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-7.28</w:t>
            </w:r>
          </w:p>
        </w:tc>
        <w:tc>
          <w:tcPr>
            <w:tcW w:w="18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3.36</w:t>
            </w:r>
          </w:p>
        </w:tc>
        <w:tc>
          <w:tcPr>
            <w:tcW w:w="18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3.36</w:t>
            </w:r>
          </w:p>
        </w:tc>
      </w:tr>
      <w:tr w:rsidR="00362F82" w:rsidRPr="00260D54" w:rsidTr="00362F82">
        <w:trPr>
          <w:jc w:val="center"/>
        </w:trPr>
        <w:tc>
          <w:tcPr>
            <w:tcW w:w="22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Mandatory</w:t>
            </w:r>
          </w:p>
        </w:tc>
        <w:tc>
          <w:tcPr>
            <w:tcW w:w="1862"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12.62</w:t>
            </w:r>
          </w:p>
        </w:tc>
        <w:tc>
          <w:tcPr>
            <w:tcW w:w="18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-11.36</w:t>
            </w:r>
          </w:p>
        </w:tc>
        <w:tc>
          <w:tcPr>
            <w:tcW w:w="18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-1.28</w:t>
            </w:r>
            <w:r w:rsidRPr="00260D54">
              <w:rPr>
                <w:rFonts w:eastAsia="Times New Roman" w:cs="Times New Roman"/>
                <w:szCs w:val="24"/>
                <w:vertAlign w:val="superscript"/>
                <w:lang w:val="en-US"/>
              </w:rPr>
              <w:t>ns</w:t>
            </w:r>
          </w:p>
        </w:tc>
      </w:tr>
      <w:tr w:rsidR="00362F82" w:rsidRPr="00260D54" w:rsidTr="00362F82">
        <w:trPr>
          <w:jc w:val="center"/>
        </w:trPr>
        <w:tc>
          <w:tcPr>
            <w:tcW w:w="2263" w:type="dxa"/>
            <w:shd w:val="clear" w:color="auto" w:fill="auto"/>
            <w:vAlign w:val="center"/>
          </w:tcPr>
          <w:p w:rsidR="00362F82" w:rsidRPr="00260D54" w:rsidRDefault="00362F82" w:rsidP="00362F82">
            <w:pPr>
              <w:spacing w:after="0" w:line="240" w:lineRule="auto"/>
              <w:rPr>
                <w:rFonts w:eastAsia="Times New Roman" w:cs="Times New Roman"/>
                <w:bCs/>
                <w:szCs w:val="24"/>
                <w:lang w:val="en-US"/>
              </w:rPr>
            </w:pPr>
            <w:r w:rsidRPr="00260D54">
              <w:rPr>
                <w:rFonts w:eastAsia="Times New Roman" w:cs="Times New Roman"/>
                <w:b/>
                <w:szCs w:val="24"/>
                <w:lang w:val="en-US"/>
              </w:rPr>
              <w:t xml:space="preserve">Random </w:t>
            </w:r>
            <w:proofErr w:type="spellStart"/>
            <w:r w:rsidRPr="00260D54">
              <w:rPr>
                <w:rFonts w:eastAsia="Times New Roman" w:cs="Times New Roman"/>
                <w:b/>
                <w:szCs w:val="24"/>
                <w:lang w:val="en-US"/>
              </w:rPr>
              <w:t>part</w:t>
            </w:r>
            <w:r w:rsidRPr="00260D54">
              <w:rPr>
                <w:rFonts w:eastAsia="Times New Roman" w:cs="Times New Roman"/>
                <w:bCs/>
                <w:szCs w:val="24"/>
                <w:vertAlign w:val="superscript"/>
                <w:lang w:val="en-US"/>
              </w:rPr>
              <w:t>a</w:t>
            </w:r>
            <w:proofErr w:type="spellEnd"/>
          </w:p>
        </w:tc>
        <w:tc>
          <w:tcPr>
            <w:tcW w:w="1862"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p>
        </w:tc>
        <w:tc>
          <w:tcPr>
            <w:tcW w:w="18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p>
        </w:tc>
        <w:tc>
          <w:tcPr>
            <w:tcW w:w="18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p>
        </w:tc>
      </w:tr>
      <w:tr w:rsidR="00362F82" w:rsidRPr="00260D54" w:rsidTr="00362F82">
        <w:trPr>
          <w:jc w:val="center"/>
        </w:trPr>
        <w:tc>
          <w:tcPr>
            <w:tcW w:w="22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position w:val="-12"/>
                <w:szCs w:val="24"/>
                <w:lang w:val="en-US"/>
              </w:rPr>
              <w:object w:dxaOrig="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8.6pt" o:ole="">
                  <v:imagedata r:id="rId10" o:title=""/>
                </v:shape>
                <o:OLEObject Type="Embed" ProgID="Equation.DSMT4" ShapeID="_x0000_i1025" DrawAspect="Content" ObjectID="_1564566724" r:id="rId11"/>
              </w:object>
            </w:r>
          </w:p>
        </w:tc>
        <w:tc>
          <w:tcPr>
            <w:tcW w:w="1862"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6.50</w:t>
            </w:r>
          </w:p>
        </w:tc>
        <w:tc>
          <w:tcPr>
            <w:tcW w:w="18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2.01</w:t>
            </w:r>
          </w:p>
        </w:tc>
        <w:tc>
          <w:tcPr>
            <w:tcW w:w="18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3.17</w:t>
            </w:r>
          </w:p>
        </w:tc>
      </w:tr>
      <w:tr w:rsidR="00362F82" w:rsidRPr="00260D54" w:rsidTr="00362F82">
        <w:trPr>
          <w:jc w:val="center"/>
        </w:trPr>
        <w:tc>
          <w:tcPr>
            <w:tcW w:w="22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position w:val="-12"/>
                <w:szCs w:val="24"/>
                <w:lang w:val="en-US"/>
              </w:rPr>
              <w:object w:dxaOrig="380" w:dyaOrig="380">
                <v:shape id="_x0000_i1026" type="#_x0000_t75" style="width:18.6pt;height:18.6pt" o:ole="">
                  <v:imagedata r:id="rId12" o:title=""/>
                </v:shape>
                <o:OLEObject Type="Embed" ProgID="Equation.DSMT4" ShapeID="_x0000_i1026" DrawAspect="Content" ObjectID="_1564566725" r:id="rId13"/>
              </w:object>
            </w:r>
          </w:p>
        </w:tc>
        <w:tc>
          <w:tcPr>
            <w:tcW w:w="1862"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72.24</w:t>
            </w:r>
          </w:p>
        </w:tc>
        <w:tc>
          <w:tcPr>
            <w:tcW w:w="18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67.25</w:t>
            </w:r>
          </w:p>
        </w:tc>
        <w:tc>
          <w:tcPr>
            <w:tcW w:w="18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45.19</w:t>
            </w:r>
          </w:p>
        </w:tc>
      </w:tr>
      <w:tr w:rsidR="00362F82" w:rsidRPr="00260D54" w:rsidTr="00362F82">
        <w:trPr>
          <w:jc w:val="center"/>
        </w:trPr>
        <w:tc>
          <w:tcPr>
            <w:tcW w:w="22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position w:val="-12"/>
                <w:szCs w:val="24"/>
                <w:lang w:val="en-US"/>
              </w:rPr>
              <w:object w:dxaOrig="360" w:dyaOrig="380">
                <v:shape id="_x0000_i1027" type="#_x0000_t75" style="width:18pt;height:18.6pt" o:ole="">
                  <v:imagedata r:id="rId14" o:title=""/>
                </v:shape>
                <o:OLEObject Type="Embed" ProgID="Equation.DSMT4" ShapeID="_x0000_i1027" DrawAspect="Content" ObjectID="_1564566726" r:id="rId15"/>
              </w:object>
            </w:r>
          </w:p>
        </w:tc>
        <w:tc>
          <w:tcPr>
            <w:tcW w:w="1862"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30.09</w:t>
            </w:r>
          </w:p>
        </w:tc>
        <w:tc>
          <w:tcPr>
            <w:tcW w:w="18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16.28</w:t>
            </w:r>
          </w:p>
        </w:tc>
        <w:tc>
          <w:tcPr>
            <w:tcW w:w="1863" w:type="dxa"/>
            <w:shd w:val="clear" w:color="auto" w:fill="auto"/>
            <w:vAlign w:val="center"/>
          </w:tcPr>
          <w:p w:rsidR="00362F82" w:rsidRPr="00260D54" w:rsidRDefault="00362F82" w:rsidP="00362F82">
            <w:pPr>
              <w:spacing w:after="0" w:line="240" w:lineRule="auto"/>
              <w:rPr>
                <w:rFonts w:eastAsia="Times New Roman" w:cs="Times New Roman"/>
                <w:szCs w:val="24"/>
                <w:lang w:val="en-US"/>
              </w:rPr>
            </w:pPr>
            <w:r w:rsidRPr="00260D54">
              <w:rPr>
                <w:rFonts w:eastAsia="Times New Roman" w:cs="Times New Roman"/>
                <w:szCs w:val="24"/>
                <w:lang w:val="en-US"/>
              </w:rPr>
              <w:t>14.78</w:t>
            </w:r>
          </w:p>
        </w:tc>
      </w:tr>
      <w:tr w:rsidR="00362F82" w:rsidRPr="00260D54" w:rsidTr="00362F82">
        <w:trPr>
          <w:jc w:val="center"/>
        </w:trPr>
        <w:tc>
          <w:tcPr>
            <w:tcW w:w="7851" w:type="dxa"/>
            <w:gridSpan w:val="4"/>
            <w:tcBorders>
              <w:top w:val="single" w:sz="4" w:space="0" w:color="auto"/>
            </w:tcBorders>
            <w:shd w:val="clear" w:color="auto" w:fill="auto"/>
            <w:vAlign w:val="center"/>
          </w:tcPr>
          <w:p w:rsidR="00362F82" w:rsidRPr="00260D54" w:rsidRDefault="00362F82" w:rsidP="00362F82">
            <w:pPr>
              <w:spacing w:after="0" w:line="240" w:lineRule="auto"/>
              <w:rPr>
                <w:rFonts w:eastAsia="Times New Roman" w:cs="Times New Roman"/>
                <w:sz w:val="24"/>
                <w:szCs w:val="24"/>
                <w:lang w:val="en-US"/>
              </w:rPr>
            </w:pPr>
            <w:proofErr w:type="spellStart"/>
            <w:r w:rsidRPr="00260D54">
              <w:rPr>
                <w:rFonts w:eastAsia="Times New Roman" w:cs="Times New Roman"/>
                <w:sz w:val="24"/>
                <w:szCs w:val="24"/>
                <w:vertAlign w:val="superscript"/>
                <w:lang w:val="en-US"/>
              </w:rPr>
              <w:t>a</w:t>
            </w:r>
            <w:proofErr w:type="spellEnd"/>
            <w:r w:rsidRPr="00260D54">
              <w:rPr>
                <w:rFonts w:eastAsia="Times New Roman" w:cs="Times New Roman"/>
                <w:sz w:val="24"/>
                <w:szCs w:val="24"/>
                <w:lang w:val="en-US"/>
              </w:rPr>
              <w:t xml:space="preserve"> </w:t>
            </w:r>
            <w:r w:rsidRPr="00260D54">
              <w:rPr>
                <w:rFonts w:eastAsia="Times New Roman" w:cs="Times New Roman"/>
                <w:sz w:val="20"/>
                <w:szCs w:val="20"/>
                <w:lang w:val="en-US"/>
              </w:rPr>
              <w:t>For simplicity the covariances are not included</w:t>
            </w:r>
          </w:p>
        </w:tc>
      </w:tr>
    </w:tbl>
    <w:p w:rsidR="00484677" w:rsidRPr="00260D54" w:rsidRDefault="00362F82" w:rsidP="00896A59">
      <w:pPr>
        <w:rPr>
          <w:lang w:val="en-US"/>
        </w:rPr>
      </w:pPr>
      <w:r w:rsidRPr="00260D54">
        <w:rPr>
          <w:lang w:val="en-US"/>
        </w:rPr>
        <w:t xml:space="preserve"> </w:t>
      </w:r>
    </w:p>
    <w:p w:rsidR="00896A59" w:rsidRPr="00260D54" w:rsidRDefault="008E749D" w:rsidP="008E749D">
      <w:pPr>
        <w:pStyle w:val="Heading4"/>
        <w:rPr>
          <w:rFonts w:asciiTheme="minorHAnsi" w:hAnsiTheme="minorHAnsi"/>
          <w:lang w:val="en-GB"/>
        </w:rPr>
      </w:pPr>
      <w:r w:rsidRPr="00260D54">
        <w:rPr>
          <w:rFonts w:asciiTheme="minorHAnsi" w:hAnsiTheme="minorHAnsi"/>
          <w:lang w:val="en-GB"/>
        </w:rPr>
        <w:t xml:space="preserve">Comparison with </w:t>
      </w:r>
      <w:r w:rsidR="00343931" w:rsidRPr="00260D54">
        <w:rPr>
          <w:rFonts w:asciiTheme="minorHAnsi" w:hAnsiTheme="minorHAnsi"/>
          <w:lang w:val="en-GB"/>
        </w:rPr>
        <w:t>d</w:t>
      </w:r>
      <w:r w:rsidRPr="00260D54">
        <w:rPr>
          <w:rFonts w:asciiTheme="minorHAnsi" w:hAnsiTheme="minorHAnsi"/>
          <w:lang w:val="en-GB"/>
        </w:rPr>
        <w:t xml:space="preserve">e Leeuw and </w:t>
      </w:r>
      <w:r w:rsidR="00343931" w:rsidRPr="00260D54">
        <w:rPr>
          <w:rFonts w:asciiTheme="minorHAnsi" w:hAnsiTheme="minorHAnsi"/>
          <w:lang w:val="en-GB"/>
        </w:rPr>
        <w:t>d</w:t>
      </w:r>
      <w:r w:rsidRPr="00260D54">
        <w:rPr>
          <w:rFonts w:asciiTheme="minorHAnsi" w:hAnsiTheme="minorHAnsi"/>
          <w:lang w:val="en-GB"/>
        </w:rPr>
        <w:t>e Heer data</w:t>
      </w:r>
    </w:p>
    <w:p w:rsidR="00BF7561" w:rsidRPr="00BF7561" w:rsidRDefault="008E749D" w:rsidP="00F67181">
      <w:pPr>
        <w:rPr>
          <w:spacing w:val="-3"/>
          <w:lang w:val="en-GB"/>
        </w:rPr>
      </w:pPr>
      <w:r w:rsidRPr="001C474B">
        <w:rPr>
          <w:spacing w:val="-3"/>
          <w:lang w:val="en-GB"/>
        </w:rPr>
        <w:t xml:space="preserve">We combined the de Leeuw </w:t>
      </w:r>
      <w:r w:rsidR="0038404F" w:rsidRPr="001C474B">
        <w:rPr>
          <w:spacing w:val="-3"/>
          <w:lang w:val="en-GB"/>
        </w:rPr>
        <w:t xml:space="preserve">and </w:t>
      </w:r>
      <w:r w:rsidRPr="001C474B">
        <w:rPr>
          <w:spacing w:val="-3"/>
          <w:lang w:val="en-GB"/>
        </w:rPr>
        <w:t>de Heer data with the new data in a single data file</w:t>
      </w:r>
      <w:r w:rsidR="009855CE" w:rsidRPr="001C474B">
        <w:rPr>
          <w:spacing w:val="-3"/>
          <w:lang w:val="en-GB"/>
        </w:rPr>
        <w:t xml:space="preserve">, including countries that exist only in one of the two data collections. The results </w:t>
      </w:r>
      <w:r w:rsidR="00EC12DC" w:rsidRPr="001C474B">
        <w:rPr>
          <w:spacing w:val="-3"/>
          <w:lang w:val="en-GB"/>
        </w:rPr>
        <w:t xml:space="preserve">show that </w:t>
      </w:r>
      <w:r w:rsidR="00C73B4B" w:rsidRPr="001C474B">
        <w:rPr>
          <w:spacing w:val="-3"/>
          <w:lang w:val="en-GB"/>
        </w:rPr>
        <w:t xml:space="preserve">for response </w:t>
      </w:r>
      <w:r w:rsidR="00EC12DC" w:rsidRPr="001C474B">
        <w:rPr>
          <w:spacing w:val="-3"/>
          <w:lang w:val="en-GB"/>
        </w:rPr>
        <w:t>the difference in year trends between both data sets is no</w:t>
      </w:r>
      <w:r w:rsidR="00C73B4B" w:rsidRPr="001C474B">
        <w:rPr>
          <w:spacing w:val="-3"/>
          <w:lang w:val="en-GB"/>
        </w:rPr>
        <w:t xml:space="preserve">t </w:t>
      </w:r>
      <w:r w:rsidR="00EC12DC" w:rsidRPr="001C474B">
        <w:rPr>
          <w:spacing w:val="-3"/>
          <w:lang w:val="en-GB"/>
        </w:rPr>
        <w:t xml:space="preserve">significant, p = 0.50 (two-sided Wald test for difference, cf. Guilford &amp; </w:t>
      </w:r>
      <w:proofErr w:type="spellStart"/>
      <w:r w:rsidR="00EC12DC" w:rsidRPr="001C474B">
        <w:rPr>
          <w:spacing w:val="-3"/>
          <w:lang w:val="en-GB"/>
        </w:rPr>
        <w:t>Fruchter</w:t>
      </w:r>
      <w:proofErr w:type="spellEnd"/>
      <w:r w:rsidR="00EC12DC" w:rsidRPr="001C474B">
        <w:rPr>
          <w:spacing w:val="-3"/>
          <w:lang w:val="en-GB"/>
        </w:rPr>
        <w:t xml:space="preserve">, 1978, p148). </w:t>
      </w:r>
      <w:r w:rsidR="00C73B4B" w:rsidRPr="001C474B">
        <w:rPr>
          <w:spacing w:val="-3"/>
          <w:lang w:val="en-GB"/>
        </w:rPr>
        <w:t>W</w:t>
      </w:r>
      <w:r w:rsidR="009855CE" w:rsidRPr="001C474B">
        <w:rPr>
          <w:spacing w:val="-3"/>
          <w:lang w:val="en-GB"/>
        </w:rPr>
        <w:t>hen only data are analy</w:t>
      </w:r>
      <w:r w:rsidR="00C73B4B" w:rsidRPr="001C474B">
        <w:rPr>
          <w:spacing w:val="-3"/>
          <w:lang w:val="en-GB"/>
        </w:rPr>
        <w:t>s</w:t>
      </w:r>
      <w:r w:rsidR="009855CE" w:rsidRPr="001C474B">
        <w:rPr>
          <w:spacing w:val="-3"/>
          <w:lang w:val="en-GB"/>
        </w:rPr>
        <w:t>ed that exist in both data collections, the results are very similar</w:t>
      </w:r>
      <w:r w:rsidR="001C474B" w:rsidRPr="001C474B">
        <w:rPr>
          <w:spacing w:val="-3"/>
          <w:lang w:val="en-GB"/>
        </w:rPr>
        <w:t xml:space="preserve">. </w:t>
      </w:r>
      <w:r w:rsidR="00C73B4B" w:rsidRPr="001C474B">
        <w:rPr>
          <w:spacing w:val="-3"/>
          <w:lang w:val="en-GB"/>
        </w:rPr>
        <w:t xml:space="preserve">Likewise, there is no difference in year trends between the old and new dataset </w:t>
      </w:r>
      <w:r w:rsidR="00C73B4B" w:rsidRPr="001C474B">
        <w:rPr>
          <w:spacing w:val="-3"/>
          <w:lang w:val="en-GB"/>
        </w:rPr>
        <w:lastRenderedPageBreak/>
        <w:t xml:space="preserve">for refusals (p = 0.27) and noncontacts (p = 0.98). These results mean </w:t>
      </w:r>
      <w:r w:rsidR="009855CE" w:rsidRPr="001C474B">
        <w:rPr>
          <w:spacing w:val="-3"/>
          <w:lang w:val="en-GB"/>
        </w:rPr>
        <w:t>that the trends reported by de Leeuw and de Heer have continued over the years. The noncontacts and refusals are increasing, and the response is decreasing</w:t>
      </w:r>
      <w:r w:rsidR="00BF7561">
        <w:rPr>
          <w:spacing w:val="-3"/>
          <w:lang w:val="en-GB"/>
        </w:rPr>
        <w:t xml:space="preserve"> at the same rate as reported in the earlier study</w:t>
      </w:r>
      <w:r w:rsidR="009855CE" w:rsidRPr="001C474B">
        <w:rPr>
          <w:spacing w:val="-3"/>
          <w:lang w:val="en-GB"/>
        </w:rPr>
        <w:t>. Translated into percent</w:t>
      </w:r>
      <w:r w:rsidR="00C73B4B" w:rsidRPr="001C474B">
        <w:rPr>
          <w:spacing w:val="-3"/>
          <w:lang w:val="en-GB"/>
        </w:rPr>
        <w:t>age</w:t>
      </w:r>
      <w:r w:rsidR="009855CE" w:rsidRPr="001C474B">
        <w:rPr>
          <w:spacing w:val="-3"/>
          <w:lang w:val="en-GB"/>
        </w:rPr>
        <w:t xml:space="preserve"> points for the entire combined period, per decade (ten years) the noncontacts are predicted to increase by 2.94 </w:t>
      </w:r>
      <w:r w:rsidR="00C73B4B" w:rsidRPr="001C474B">
        <w:rPr>
          <w:spacing w:val="-3"/>
          <w:lang w:val="en-GB"/>
        </w:rPr>
        <w:t xml:space="preserve">percentage </w:t>
      </w:r>
      <w:r w:rsidR="009855CE" w:rsidRPr="001C474B">
        <w:rPr>
          <w:spacing w:val="-3"/>
          <w:lang w:val="en-GB"/>
        </w:rPr>
        <w:t xml:space="preserve">points, the refusals are predicted to increase by 2.52 percentage points, and the combined effect on the response rates are a predicted decrease of 7.31 percentage points. </w:t>
      </w:r>
      <w:r w:rsidR="00F67181">
        <w:rPr>
          <w:spacing w:val="-3"/>
          <w:lang w:val="en-GB"/>
        </w:rPr>
        <w:t xml:space="preserve">The analyses also showed that, although there </w:t>
      </w:r>
      <w:r w:rsidR="00BF7561" w:rsidRPr="00BF7561">
        <w:rPr>
          <w:spacing w:val="-3"/>
          <w:lang w:val="en-US"/>
        </w:rPr>
        <w:t xml:space="preserve">are large differences between countries in the amount of </w:t>
      </w:r>
      <w:r w:rsidR="00F67181">
        <w:rPr>
          <w:spacing w:val="-3"/>
          <w:lang w:val="en-US"/>
        </w:rPr>
        <w:t xml:space="preserve">response, refusal and </w:t>
      </w:r>
      <w:r w:rsidR="00BF7561" w:rsidRPr="00BF7561">
        <w:rPr>
          <w:spacing w:val="-3"/>
          <w:lang w:val="en-US"/>
        </w:rPr>
        <w:t xml:space="preserve">non-contact, </w:t>
      </w:r>
      <w:r w:rsidR="00BF7561" w:rsidRPr="00BF7561">
        <w:rPr>
          <w:spacing w:val="-3"/>
          <w:lang w:val="en-GB"/>
        </w:rPr>
        <w:t xml:space="preserve">there are only very small differences between countries in the speed at which </w:t>
      </w:r>
      <w:proofErr w:type="gramStart"/>
      <w:r w:rsidR="00F67181">
        <w:rPr>
          <w:spacing w:val="-3"/>
          <w:lang w:val="en-GB"/>
        </w:rPr>
        <w:t>response ,</w:t>
      </w:r>
      <w:proofErr w:type="gramEnd"/>
      <w:r w:rsidR="00F67181">
        <w:rPr>
          <w:spacing w:val="-3"/>
          <w:lang w:val="en-GB"/>
        </w:rPr>
        <w:t xml:space="preserve"> refusal and </w:t>
      </w:r>
      <w:r w:rsidR="00BF7561" w:rsidRPr="00BF7561">
        <w:rPr>
          <w:spacing w:val="-3"/>
          <w:lang w:val="en-GB"/>
        </w:rPr>
        <w:t xml:space="preserve">contact </w:t>
      </w:r>
      <w:r w:rsidR="00F67181">
        <w:rPr>
          <w:spacing w:val="-3"/>
          <w:lang w:val="en-GB"/>
        </w:rPr>
        <w:t>rates de</w:t>
      </w:r>
      <w:r w:rsidR="00BF7561" w:rsidRPr="00BF7561">
        <w:rPr>
          <w:spacing w:val="-3"/>
          <w:lang w:val="en-GB"/>
        </w:rPr>
        <w:t>crease</w:t>
      </w:r>
      <w:r w:rsidR="00F67181">
        <w:rPr>
          <w:spacing w:val="-3"/>
          <w:lang w:val="en-GB"/>
        </w:rPr>
        <w:t xml:space="preserve">. </w:t>
      </w:r>
    </w:p>
    <w:p w:rsidR="009F3646" w:rsidRDefault="009F3646" w:rsidP="009F3646">
      <w:pPr>
        <w:rPr>
          <w:spacing w:val="-3"/>
          <w:lang w:val="en-GB"/>
        </w:rPr>
      </w:pPr>
      <w:r w:rsidRPr="001C474B">
        <w:rPr>
          <w:spacing w:val="-3"/>
          <w:lang w:val="en-GB"/>
        </w:rPr>
        <w:t xml:space="preserve">The appendix shows the results of the multilevel regressions on response, refusal and noncontact, and graphs based on linear regression for each country separately. Note that, because of the small number of observations per country the regression lines have large standard errors. The differences in these graphs are therefore exaggerated. The multilevel analyses actually indicate small differences in </w:t>
      </w:r>
      <w:r w:rsidR="001C474B" w:rsidRPr="001C474B">
        <w:rPr>
          <w:spacing w:val="-3"/>
          <w:lang w:val="en-GB"/>
        </w:rPr>
        <w:t xml:space="preserve">the </w:t>
      </w:r>
      <w:r w:rsidRPr="001C474B">
        <w:rPr>
          <w:spacing w:val="-3"/>
          <w:lang w:val="en-GB"/>
        </w:rPr>
        <w:t>rate of change.</w:t>
      </w:r>
    </w:p>
    <w:p w:rsidR="0010301B" w:rsidRPr="001C474B" w:rsidRDefault="0010301B" w:rsidP="009F3646">
      <w:pPr>
        <w:rPr>
          <w:spacing w:val="-3"/>
          <w:lang w:val="en-GB"/>
        </w:rPr>
      </w:pPr>
      <w:r>
        <w:rPr>
          <w:spacing w:val="-3"/>
          <w:lang w:val="en-GB"/>
        </w:rPr>
        <w:t xml:space="preserve">The multilevel analyses of the other social survey have not yet been done. </w:t>
      </w:r>
      <w:r w:rsidR="00BF7561">
        <w:rPr>
          <w:spacing w:val="-3"/>
          <w:lang w:val="en-GB"/>
        </w:rPr>
        <w:t>F</w:t>
      </w:r>
      <w:r>
        <w:rPr>
          <w:spacing w:val="-3"/>
          <w:lang w:val="en-GB"/>
        </w:rPr>
        <w:t xml:space="preserve">igure </w:t>
      </w:r>
      <w:r w:rsidR="00BF7561">
        <w:rPr>
          <w:spacing w:val="-3"/>
          <w:lang w:val="en-GB"/>
        </w:rPr>
        <w:t>4 in the appendix shows graphs for the response of the various surveys. Crude analysis indicate</w:t>
      </w:r>
      <w:r w:rsidR="00F67181">
        <w:rPr>
          <w:spacing w:val="-3"/>
          <w:lang w:val="en-GB"/>
        </w:rPr>
        <w:t>s</w:t>
      </w:r>
      <w:r w:rsidR="00BF7561">
        <w:rPr>
          <w:spacing w:val="-3"/>
          <w:lang w:val="en-GB"/>
        </w:rPr>
        <w:t xml:space="preserve"> that the decline in response in most countries is the same as for the voluntary LFS.  However, there are some countries where no decline is witnessed. In the next paragraph we analyse if we can find the driving mechanisms behind those </w:t>
      </w:r>
      <w:r w:rsidR="00F67181">
        <w:rPr>
          <w:spacing w:val="-3"/>
          <w:lang w:val="en-GB"/>
        </w:rPr>
        <w:t>differences</w:t>
      </w:r>
      <w:r w:rsidR="00BF7561">
        <w:rPr>
          <w:spacing w:val="-3"/>
          <w:lang w:val="en-GB"/>
        </w:rPr>
        <w:t xml:space="preserve">. </w:t>
      </w:r>
    </w:p>
    <w:p w:rsidR="00C73B4B" w:rsidRPr="001C474B" w:rsidRDefault="00C73B4B" w:rsidP="00C73B4B">
      <w:pPr>
        <w:pStyle w:val="Heading3"/>
        <w:rPr>
          <w:rFonts w:asciiTheme="minorHAnsi" w:hAnsiTheme="minorHAnsi"/>
          <w:lang w:val="en-GB"/>
        </w:rPr>
      </w:pPr>
      <w:r w:rsidRPr="001C474B">
        <w:rPr>
          <w:rFonts w:asciiTheme="minorHAnsi" w:hAnsiTheme="minorHAnsi"/>
          <w:lang w:val="en-GB"/>
        </w:rPr>
        <w:t>Predicting response rates</w:t>
      </w:r>
      <w:r w:rsidR="00F721DF">
        <w:rPr>
          <w:rFonts w:asciiTheme="minorHAnsi" w:hAnsiTheme="minorHAnsi"/>
          <w:lang w:val="en-GB"/>
        </w:rPr>
        <w:t>: LFS</w:t>
      </w:r>
    </w:p>
    <w:p w:rsidR="0010301B" w:rsidRDefault="00F73215" w:rsidP="0010301B">
      <w:pPr>
        <w:rPr>
          <w:lang w:val="en-GB"/>
        </w:rPr>
      </w:pPr>
      <w:r w:rsidRPr="001C474B">
        <w:rPr>
          <w:spacing w:val="-3"/>
          <w:lang w:val="en-GB"/>
        </w:rPr>
        <w:t>One of the aims of the analysis is t</w:t>
      </w:r>
      <w:r w:rsidR="009F3646" w:rsidRPr="001C474B">
        <w:rPr>
          <w:spacing w:val="-3"/>
          <w:lang w:val="en-GB"/>
        </w:rPr>
        <w:t>o explain differences in response rates between countries</w:t>
      </w:r>
      <w:r w:rsidR="001C474B">
        <w:rPr>
          <w:spacing w:val="-3"/>
          <w:lang w:val="en-GB"/>
        </w:rPr>
        <w:t xml:space="preserve"> </w:t>
      </w:r>
      <w:proofErr w:type="gramStart"/>
      <w:r w:rsidR="001C474B">
        <w:rPr>
          <w:spacing w:val="-3"/>
          <w:lang w:val="en-GB"/>
        </w:rPr>
        <w:t xml:space="preserve">and </w:t>
      </w:r>
      <w:r w:rsidRPr="001C474B">
        <w:rPr>
          <w:spacing w:val="-3"/>
          <w:lang w:val="en-GB"/>
        </w:rPr>
        <w:t xml:space="preserve"> to</w:t>
      </w:r>
      <w:proofErr w:type="gramEnd"/>
      <w:r w:rsidRPr="001C474B">
        <w:rPr>
          <w:spacing w:val="-3"/>
          <w:lang w:val="en-GB"/>
        </w:rPr>
        <w:t xml:space="preserve"> </w:t>
      </w:r>
      <w:r w:rsidR="009F3646" w:rsidRPr="001C474B">
        <w:rPr>
          <w:spacing w:val="-3"/>
          <w:lang w:val="en-GB"/>
        </w:rPr>
        <w:t>explain differences in response tends</w:t>
      </w:r>
      <w:r w:rsidRPr="001C474B">
        <w:rPr>
          <w:spacing w:val="-3"/>
          <w:lang w:val="en-GB"/>
        </w:rPr>
        <w:t xml:space="preserve">. </w:t>
      </w:r>
      <w:r w:rsidR="00BF7561">
        <w:rPr>
          <w:spacing w:val="-3"/>
          <w:lang w:val="en-GB"/>
        </w:rPr>
        <w:t>The first analysis deployed m</w:t>
      </w:r>
      <w:r w:rsidR="0010301B" w:rsidRPr="0010301B">
        <w:rPr>
          <w:lang w:val="en-GB"/>
        </w:rPr>
        <w:t xml:space="preserve">ultilevel analysis with years nested within countries. </w:t>
      </w:r>
      <w:r w:rsidR="00BF7561">
        <w:rPr>
          <w:lang w:val="en-GB"/>
        </w:rPr>
        <w:t>We defined t</w:t>
      </w:r>
      <w:r w:rsidR="0010301B" w:rsidRPr="0010301B">
        <w:rPr>
          <w:lang w:val="en-GB"/>
        </w:rPr>
        <w:t>hree groups of predictors</w:t>
      </w:r>
      <w:r w:rsidR="00BF7561">
        <w:rPr>
          <w:lang w:val="en-GB"/>
        </w:rPr>
        <w:t xml:space="preserve">: </w:t>
      </w:r>
      <w:r w:rsidR="0010301B" w:rsidRPr="0010301B">
        <w:rPr>
          <w:lang w:val="en-GB"/>
        </w:rPr>
        <w:t xml:space="preserve"> (1) </w:t>
      </w:r>
      <w:r w:rsidR="00BF7561">
        <w:rPr>
          <w:lang w:val="en-GB"/>
        </w:rPr>
        <w:t>mandatory vs voluntary</w:t>
      </w:r>
      <w:r w:rsidR="0010301B" w:rsidRPr="0010301B">
        <w:rPr>
          <w:lang w:val="en-GB"/>
        </w:rPr>
        <w:t>; (2) General Design Variables</w:t>
      </w:r>
      <w:r w:rsidR="00F67181">
        <w:rPr>
          <w:lang w:val="en-GB"/>
        </w:rPr>
        <w:t xml:space="preserve">: </w:t>
      </w:r>
      <w:r w:rsidR="0010301B" w:rsidRPr="0010301B">
        <w:rPr>
          <w:lang w:val="en-GB"/>
        </w:rPr>
        <w:t xml:space="preserve"> </w:t>
      </w:r>
      <w:r w:rsidR="00F67181" w:rsidRPr="00F67181">
        <w:rPr>
          <w:lang w:val="en-GB"/>
        </w:rPr>
        <w:t>mixed mode (yes/no), sample (</w:t>
      </w:r>
      <w:proofErr w:type="spellStart"/>
      <w:r w:rsidR="00F67181" w:rsidRPr="00F67181">
        <w:rPr>
          <w:lang w:val="en-GB"/>
        </w:rPr>
        <w:t>hh</w:t>
      </w:r>
      <w:proofErr w:type="spellEnd"/>
      <w:r w:rsidR="00F67181" w:rsidRPr="00F67181">
        <w:rPr>
          <w:lang w:val="en-GB"/>
        </w:rPr>
        <w:t>, person), substitution allowed, proxy allowed</w:t>
      </w:r>
      <w:r w:rsidR="0010301B" w:rsidRPr="0010301B">
        <w:rPr>
          <w:lang w:val="en-GB"/>
        </w:rPr>
        <w:t xml:space="preserve"> (3) Fieldwork Design Variables</w:t>
      </w:r>
      <w:r w:rsidR="00F67181">
        <w:rPr>
          <w:lang w:val="en-GB"/>
        </w:rPr>
        <w:t>:</w:t>
      </w:r>
      <w:r w:rsidR="00F67181" w:rsidRPr="00F67181">
        <w:rPr>
          <w:lang w:val="en-GB"/>
        </w:rPr>
        <w:t xml:space="preserve"> refusal conversion, incentives, int</w:t>
      </w:r>
      <w:r w:rsidR="00F67181">
        <w:rPr>
          <w:lang w:val="en-GB"/>
        </w:rPr>
        <w:t>erviewer</w:t>
      </w:r>
      <w:r w:rsidR="00F67181" w:rsidRPr="00F67181">
        <w:rPr>
          <w:lang w:val="en-GB"/>
        </w:rPr>
        <w:t xml:space="preserve"> reward, monitoring, intervention in </w:t>
      </w:r>
      <w:proofErr w:type="gramStart"/>
      <w:r w:rsidR="00F67181" w:rsidRPr="00F67181">
        <w:rPr>
          <w:lang w:val="en-GB"/>
        </w:rPr>
        <w:t>fieldwork</w:t>
      </w:r>
      <w:r w:rsidR="00F67181">
        <w:rPr>
          <w:lang w:val="en-GB"/>
        </w:rPr>
        <w:t xml:space="preserve"> </w:t>
      </w:r>
      <w:r w:rsidR="0010301B" w:rsidRPr="0010301B">
        <w:rPr>
          <w:lang w:val="en-GB"/>
        </w:rPr>
        <w:t>.</w:t>
      </w:r>
      <w:proofErr w:type="gramEnd"/>
      <w:r w:rsidR="0010301B" w:rsidRPr="0010301B">
        <w:rPr>
          <w:lang w:val="en-GB"/>
        </w:rPr>
        <w:t xml:space="preserve"> These may slightly differ for predicting response, refusal and noncontact (e.g., the sampling related variables: substitution allowed refusal, allowed noncontact).</w:t>
      </w:r>
    </w:p>
    <w:p w:rsidR="0010301B" w:rsidRDefault="00F67181" w:rsidP="00F721DF">
      <w:pPr>
        <w:rPr>
          <w:lang w:val="en-GB"/>
        </w:rPr>
      </w:pPr>
      <w:r w:rsidRPr="00F67181">
        <w:rPr>
          <w:lang w:val="en-GB"/>
        </w:rPr>
        <w:t xml:space="preserve">The analyses </w:t>
      </w:r>
      <w:r>
        <w:rPr>
          <w:lang w:val="en-GB"/>
        </w:rPr>
        <w:t xml:space="preserve">of correlates of noncontact </w:t>
      </w:r>
      <w:r w:rsidR="00F721DF">
        <w:rPr>
          <w:lang w:val="en-GB"/>
        </w:rPr>
        <w:t xml:space="preserve">only </w:t>
      </w:r>
      <w:r>
        <w:rPr>
          <w:lang w:val="en-GB"/>
        </w:rPr>
        <w:t xml:space="preserve">showed that </w:t>
      </w:r>
      <w:r w:rsidR="00F721DF">
        <w:rPr>
          <w:lang w:val="en-GB"/>
        </w:rPr>
        <w:t xml:space="preserve">the non-contact rate is higher in countries that deploy a mixed mode design, and that non-contact is lower when interviewers are monitored. The analysis of refusal showed that refusal rates are lower when surveys are mandatory, and when interviewers are monitored. The analysis on response rates showed that response rates are higher when surveys are mandatory, lower when mixed mode designs are used, higher when interviewers are </w:t>
      </w:r>
      <w:proofErr w:type="gramStart"/>
      <w:r w:rsidR="00F721DF">
        <w:rPr>
          <w:lang w:val="en-GB"/>
        </w:rPr>
        <w:t>monitored,</w:t>
      </w:r>
      <w:proofErr w:type="gramEnd"/>
      <w:r w:rsidR="00F721DF">
        <w:rPr>
          <w:lang w:val="en-GB"/>
        </w:rPr>
        <w:t xml:space="preserve"> and </w:t>
      </w:r>
      <w:r w:rsidR="00F721DF">
        <w:rPr>
          <w:i/>
          <w:lang w:val="en-GB"/>
        </w:rPr>
        <w:t>lower</w:t>
      </w:r>
      <w:r w:rsidR="00B5058A">
        <w:rPr>
          <w:lang w:val="en-GB"/>
        </w:rPr>
        <w:t xml:space="preserve"> when incentives are used.</w:t>
      </w:r>
    </w:p>
    <w:p w:rsidR="00FB16BD" w:rsidRPr="00FB16BD" w:rsidRDefault="00FB16BD" w:rsidP="00FB16BD">
      <w:pPr>
        <w:rPr>
          <w:spacing w:val="-3"/>
          <w:lang w:val="en-GB"/>
        </w:rPr>
      </w:pPr>
      <w:r>
        <w:rPr>
          <w:lang w:val="en-GB"/>
        </w:rPr>
        <w:t xml:space="preserve">Because these analyses where </w:t>
      </w:r>
      <w:r w:rsidR="00B5058A">
        <w:rPr>
          <w:lang w:val="en-GB"/>
        </w:rPr>
        <w:t>not quite informative enough to</w:t>
      </w:r>
      <w:r>
        <w:rPr>
          <w:lang w:val="en-GB"/>
        </w:rPr>
        <w:t xml:space="preserve"> explain all the differences we see between countries, we decided to explore the residuals to look for within country explanations. </w:t>
      </w:r>
      <w:r w:rsidRPr="00FB16BD">
        <w:rPr>
          <w:spacing w:val="-3"/>
          <w:lang w:val="en-GB"/>
        </w:rPr>
        <w:t xml:space="preserve">On the combined dataset a multilevel analysis was carried out with year and mandatory as predictors and the logit response as dependent variable. Estimation was carried out in </w:t>
      </w:r>
      <w:proofErr w:type="spellStart"/>
      <w:r w:rsidRPr="00FB16BD">
        <w:rPr>
          <w:spacing w:val="-3"/>
          <w:lang w:val="en-GB"/>
        </w:rPr>
        <w:t>MLwiN</w:t>
      </w:r>
      <w:proofErr w:type="spellEnd"/>
      <w:r w:rsidRPr="00FB16BD">
        <w:rPr>
          <w:spacing w:val="-3"/>
          <w:lang w:val="en-GB"/>
        </w:rPr>
        <w:t xml:space="preserve"> 2.25 using RIGLS. </w:t>
      </w:r>
      <w:r w:rsidR="001A49B8">
        <w:rPr>
          <w:spacing w:val="-3"/>
          <w:lang w:val="en-GB"/>
        </w:rPr>
        <w:t>The s</w:t>
      </w:r>
      <w:r w:rsidRPr="00FB16BD">
        <w:rPr>
          <w:spacing w:val="-3"/>
          <w:lang w:val="en-GB"/>
        </w:rPr>
        <w:t>tandardized residuals for the intercept and slope were</w:t>
      </w:r>
      <w:r w:rsidR="001A49B8">
        <w:rPr>
          <w:spacing w:val="-3"/>
          <w:lang w:val="en-GB"/>
        </w:rPr>
        <w:t xml:space="preserve"> </w:t>
      </w:r>
      <w:r w:rsidRPr="00FB16BD">
        <w:rPr>
          <w:spacing w:val="-3"/>
          <w:lang w:val="en-GB"/>
        </w:rPr>
        <w:t xml:space="preserve">merged with </w:t>
      </w:r>
      <w:r w:rsidR="001A49B8">
        <w:rPr>
          <w:spacing w:val="-3"/>
          <w:lang w:val="en-GB"/>
        </w:rPr>
        <w:t xml:space="preserve">the </w:t>
      </w:r>
      <w:r w:rsidRPr="00FB16BD">
        <w:rPr>
          <w:spacing w:val="-3"/>
          <w:lang w:val="en-GB"/>
        </w:rPr>
        <w:t xml:space="preserve">aggregated </w:t>
      </w:r>
      <w:r w:rsidR="001A49B8">
        <w:rPr>
          <w:spacing w:val="-3"/>
          <w:lang w:val="en-GB"/>
        </w:rPr>
        <w:t>country variables.</w:t>
      </w:r>
      <w:r w:rsidRPr="00FB16BD">
        <w:rPr>
          <w:spacing w:val="-3"/>
          <w:lang w:val="en-GB"/>
        </w:rPr>
        <w:t xml:space="preserve"> </w:t>
      </w:r>
      <w:r w:rsidR="001A49B8">
        <w:rPr>
          <w:spacing w:val="-3"/>
          <w:lang w:val="en-GB"/>
        </w:rPr>
        <w:t xml:space="preserve">The residuals were </w:t>
      </w:r>
      <w:r w:rsidRPr="00FB16BD">
        <w:rPr>
          <w:spacing w:val="-3"/>
          <w:lang w:val="en-GB"/>
        </w:rPr>
        <w:t>controlled for the survey being mandatory or not and the trend across years.</w:t>
      </w:r>
    </w:p>
    <w:p w:rsidR="00FB16BD" w:rsidRDefault="001A49B8" w:rsidP="00FB16BD">
      <w:pPr>
        <w:rPr>
          <w:spacing w:val="-3"/>
          <w:lang w:val="en-GB"/>
        </w:rPr>
      </w:pPr>
      <w:r>
        <w:rPr>
          <w:lang w:val="en-GB"/>
        </w:rPr>
        <w:t xml:space="preserve">The </w:t>
      </w:r>
      <w:r w:rsidR="00FB16BD" w:rsidRPr="00FB16BD">
        <w:rPr>
          <w:lang w:val="en-GB"/>
        </w:rPr>
        <w:t>intercept</w:t>
      </w:r>
      <w:r>
        <w:rPr>
          <w:lang w:val="en-GB"/>
        </w:rPr>
        <w:t>s</w:t>
      </w:r>
      <w:r w:rsidR="00FB16BD" w:rsidRPr="00FB16BD">
        <w:rPr>
          <w:lang w:val="en-GB"/>
        </w:rPr>
        <w:t xml:space="preserve"> shows three outliers: Austria, Australia and Germany, who all have a relatively high response rate. </w:t>
      </w:r>
      <w:r>
        <w:rPr>
          <w:lang w:val="en-GB"/>
        </w:rPr>
        <w:t xml:space="preserve">Table 2 </w:t>
      </w:r>
      <w:r w:rsidR="00FB16BD" w:rsidRPr="00FB16BD">
        <w:rPr>
          <w:spacing w:val="-3"/>
          <w:lang w:val="en-GB"/>
        </w:rPr>
        <w:t xml:space="preserve">shows the correlation of the residuals with a large number of variables </w:t>
      </w:r>
      <w:r>
        <w:rPr>
          <w:spacing w:val="-3"/>
          <w:lang w:val="en-GB"/>
        </w:rPr>
        <w:t>from the new dataset</w:t>
      </w:r>
      <w:r w:rsidR="00FB16BD" w:rsidRPr="00FB16BD">
        <w:rPr>
          <w:spacing w:val="-3"/>
          <w:lang w:val="en-GB"/>
        </w:rPr>
        <w:t xml:space="preserve">, because these variables are not available in the </w:t>
      </w:r>
      <w:r>
        <w:rPr>
          <w:spacing w:val="-3"/>
          <w:lang w:val="en-GB"/>
        </w:rPr>
        <w:t>de Leeuw and de Heer data</w:t>
      </w:r>
      <w:r w:rsidR="00FB16BD" w:rsidRPr="00FB16BD">
        <w:rPr>
          <w:spacing w:val="-3"/>
          <w:lang w:val="en-GB"/>
        </w:rPr>
        <w:t xml:space="preserve">. Most of these variables do not change over the years, and are effectively country level variables. The table shows very few significant correlations. Calling mobile phones has a negative effect on the slope residual, which </w:t>
      </w:r>
      <w:r w:rsidR="00FB16BD" w:rsidRPr="00FB16BD">
        <w:rPr>
          <w:spacing w:val="-3"/>
          <w:lang w:val="en-GB"/>
        </w:rPr>
        <w:lastRenderedPageBreak/>
        <w:t>means that including mobile phones is related to a sharper decline in the response rate. We interpret this as a reaction to declining responses in CATI surveys</w:t>
      </w:r>
      <w:r w:rsidR="0089681E" w:rsidRPr="0089681E">
        <w:rPr>
          <w:spacing w:val="-3"/>
          <w:lang w:val="en-GB"/>
        </w:rPr>
        <w:t>, and not as a causal effect of including mobile phones</w:t>
      </w:r>
      <w:r w:rsidR="00FB16BD" w:rsidRPr="00FB16BD">
        <w:rPr>
          <w:spacing w:val="-3"/>
          <w:lang w:val="en-GB"/>
        </w:rPr>
        <w:t>. The maxim</w:t>
      </w:r>
      <w:r>
        <w:rPr>
          <w:spacing w:val="-3"/>
          <w:lang w:val="en-GB"/>
        </w:rPr>
        <w:t>um</w:t>
      </w:r>
      <w:r w:rsidR="00FB16BD" w:rsidRPr="00FB16BD">
        <w:rPr>
          <w:spacing w:val="-3"/>
          <w:lang w:val="en-GB"/>
        </w:rPr>
        <w:t xml:space="preserve"> </w:t>
      </w:r>
      <w:proofErr w:type="gramStart"/>
      <w:r w:rsidR="00FB16BD" w:rsidRPr="00FB16BD">
        <w:rPr>
          <w:spacing w:val="-3"/>
          <w:lang w:val="en-GB"/>
        </w:rPr>
        <w:t>number of visits in CAPI and using freelance interviewers have</w:t>
      </w:r>
      <w:proofErr w:type="gramEnd"/>
      <w:r w:rsidR="00FB16BD" w:rsidRPr="00FB16BD">
        <w:rPr>
          <w:spacing w:val="-3"/>
          <w:lang w:val="en-GB"/>
        </w:rPr>
        <w:t xml:space="preserve"> a positive effect on the intercept, meaning that these tend to increase the response rate.</w:t>
      </w:r>
      <w:r w:rsidR="0037316B">
        <w:rPr>
          <w:spacing w:val="-3"/>
          <w:lang w:val="en-GB"/>
        </w:rPr>
        <w:t xml:space="preserve">  </w:t>
      </w:r>
      <w:r w:rsidR="00440326">
        <w:rPr>
          <w:spacing w:val="-3"/>
          <w:lang w:val="en-GB"/>
        </w:rPr>
        <w:t xml:space="preserve">Analysis of these relations is still underhand. </w:t>
      </w:r>
    </w:p>
    <w:p w:rsidR="009F3F8A" w:rsidRPr="009F3F8A" w:rsidRDefault="009F3F8A" w:rsidP="00FB16BD">
      <w:pPr>
        <w:rPr>
          <w:b/>
          <w:i/>
          <w:spacing w:val="-3"/>
          <w:lang w:val="en-GB"/>
        </w:rPr>
      </w:pPr>
      <w:r>
        <w:rPr>
          <w:b/>
          <w:i/>
          <w:spacing w:val="-3"/>
          <w:lang w:val="en-GB"/>
        </w:rPr>
        <w:t>Table 2.Correlation of standardized residuals with design variables</w:t>
      </w:r>
    </w:p>
    <w:p w:rsidR="009F3F8A" w:rsidRDefault="009F3F8A" w:rsidP="00FB16BD">
      <w:pPr>
        <w:rPr>
          <w:spacing w:val="-3"/>
          <w:lang w:val="en-GB"/>
        </w:rPr>
      </w:pPr>
      <w:r>
        <w:rPr>
          <w:noProof/>
          <w:spacing w:val="-3"/>
          <w:lang w:val="en-US"/>
        </w:rPr>
        <w:drawing>
          <wp:inline distT="0" distB="0" distL="0" distR="0">
            <wp:extent cx="5760720" cy="4618663"/>
            <wp:effectExtent l="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4618663"/>
                    </a:xfrm>
                    <a:prstGeom prst="rect">
                      <a:avLst/>
                    </a:prstGeom>
                    <a:noFill/>
                    <a:ln>
                      <a:noFill/>
                    </a:ln>
                  </pic:spPr>
                </pic:pic>
              </a:graphicData>
            </a:graphic>
          </wp:inline>
        </w:drawing>
      </w:r>
    </w:p>
    <w:p w:rsidR="00440326" w:rsidRPr="001C474B" w:rsidRDefault="00440326" w:rsidP="00440326">
      <w:pPr>
        <w:pStyle w:val="Heading3"/>
        <w:rPr>
          <w:rFonts w:asciiTheme="minorHAnsi" w:hAnsiTheme="minorHAnsi"/>
          <w:lang w:val="en-GB"/>
        </w:rPr>
      </w:pPr>
      <w:r>
        <w:rPr>
          <w:rFonts w:asciiTheme="minorHAnsi" w:hAnsiTheme="minorHAnsi"/>
          <w:lang w:val="en-GB"/>
        </w:rPr>
        <w:t xml:space="preserve">Costs  </w:t>
      </w:r>
    </w:p>
    <w:p w:rsidR="00CF698F" w:rsidRDefault="00440326" w:rsidP="00CF698F">
      <w:pPr>
        <w:rPr>
          <w:spacing w:val="-3"/>
          <w:lang w:val="en-GB"/>
        </w:rPr>
      </w:pPr>
      <w:r>
        <w:rPr>
          <w:spacing w:val="-3"/>
          <w:lang w:val="en-GB"/>
        </w:rPr>
        <w:t>One other venue of investigation is the fieldwork costs</w:t>
      </w:r>
      <w:r w:rsidR="00CF698F">
        <w:rPr>
          <w:spacing w:val="-3"/>
          <w:lang w:val="en-GB"/>
        </w:rPr>
        <w:t>. Questions are</w:t>
      </w:r>
      <w:r>
        <w:rPr>
          <w:spacing w:val="-3"/>
          <w:lang w:val="en-GB"/>
        </w:rPr>
        <w:t>:</w:t>
      </w:r>
      <w:r w:rsidR="00CF698F">
        <w:rPr>
          <w:spacing w:val="-3"/>
          <w:lang w:val="en-GB"/>
        </w:rPr>
        <w:t xml:space="preserve"> i</w:t>
      </w:r>
      <w:r w:rsidR="00CF698F" w:rsidRPr="00CF698F">
        <w:rPr>
          <w:spacing w:val="-3"/>
          <w:lang w:val="en-GB"/>
        </w:rPr>
        <w:t>s response going down as a result of budget cuts on fieldwork</w:t>
      </w:r>
      <w:r w:rsidR="00CF698F">
        <w:rPr>
          <w:spacing w:val="-3"/>
          <w:lang w:val="en-GB"/>
        </w:rPr>
        <w:t>, or i</w:t>
      </w:r>
      <w:r w:rsidR="00CF698F" w:rsidRPr="00CF698F">
        <w:rPr>
          <w:spacing w:val="-3"/>
          <w:lang w:val="en-GB"/>
        </w:rPr>
        <w:t>s response stable as a result of investing in fieldwork?</w:t>
      </w:r>
      <w:r w:rsidR="00CF698F">
        <w:rPr>
          <w:spacing w:val="-3"/>
          <w:lang w:val="en-GB"/>
        </w:rPr>
        <w:t xml:space="preserve"> A nice example of the latter scenario is the LFS in the USA. Figure 1 shows the index of the response rates since 1998, the development of the costs per sample unit if only a correction for inflation would be applied, and the actual costs per fieldwork unit, showing that increasingly more money is spent per sample unit. </w:t>
      </w:r>
    </w:p>
    <w:p w:rsidR="00CF698F" w:rsidRPr="00CF698F" w:rsidRDefault="00CF698F" w:rsidP="00CF698F">
      <w:pPr>
        <w:rPr>
          <w:spacing w:val="-3"/>
          <w:lang w:val="en-GB"/>
        </w:rPr>
      </w:pPr>
      <w:r w:rsidRPr="00CF698F">
        <w:rPr>
          <w:noProof/>
          <w:spacing w:val="-3"/>
          <w:lang w:val="en-US"/>
        </w:rPr>
        <w:drawing>
          <wp:inline distT="0" distB="0" distL="0" distR="0" wp14:anchorId="77DE1B8E" wp14:editId="1ED403D5">
            <wp:extent cx="3200400" cy="1813536"/>
            <wp:effectExtent l="0" t="0" r="0" b="0"/>
            <wp:docPr id="6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8119" cy="1817910"/>
                    </a:xfrm>
                    <a:prstGeom prst="rect">
                      <a:avLst/>
                    </a:prstGeom>
                    <a:noFill/>
                    <a:ln>
                      <a:noFill/>
                    </a:ln>
                    <a:effectLst/>
                    <a:extLst/>
                  </pic:spPr>
                </pic:pic>
              </a:graphicData>
            </a:graphic>
          </wp:inline>
        </w:drawing>
      </w:r>
    </w:p>
    <w:p w:rsidR="00FB16BD" w:rsidRPr="00CF698F" w:rsidRDefault="00CF698F" w:rsidP="00F721DF">
      <w:pPr>
        <w:rPr>
          <w:b/>
          <w:i/>
          <w:lang w:val="en-GB"/>
        </w:rPr>
      </w:pPr>
      <w:proofErr w:type="gramStart"/>
      <w:r>
        <w:rPr>
          <w:b/>
          <w:i/>
          <w:lang w:val="en-GB"/>
        </w:rPr>
        <w:lastRenderedPageBreak/>
        <w:t>Figure 1.</w:t>
      </w:r>
      <w:proofErr w:type="gramEnd"/>
      <w:r>
        <w:rPr>
          <w:b/>
          <w:i/>
          <w:lang w:val="en-GB"/>
        </w:rPr>
        <w:t xml:space="preserve"> Costs development of the LFS fieldwork </w:t>
      </w:r>
    </w:p>
    <w:p w:rsidR="0010301B" w:rsidRPr="00F721DF" w:rsidRDefault="00CF698F" w:rsidP="0010301B">
      <w:pPr>
        <w:rPr>
          <w:lang w:val="en-GB"/>
        </w:rPr>
      </w:pPr>
      <w:r>
        <w:rPr>
          <w:lang w:val="en-GB"/>
        </w:rPr>
        <w:t>Not all countries were willing or able to provide these data. We are presently analysing proxies for costs, like number of calls or visits, and</w:t>
      </w:r>
      <w:r w:rsidR="009F3F8A">
        <w:rPr>
          <w:lang w:val="en-GB"/>
        </w:rPr>
        <w:t xml:space="preserve"> modes employed. </w:t>
      </w:r>
    </w:p>
    <w:p w:rsidR="00896A59" w:rsidRPr="00EC12DC" w:rsidRDefault="00437B95" w:rsidP="00896A59">
      <w:pPr>
        <w:rPr>
          <w:sz w:val="24"/>
          <w:lang w:val="en-GB"/>
        </w:rPr>
      </w:pPr>
      <w:r w:rsidRPr="00437B95">
        <w:rPr>
          <w:noProof/>
          <w:spacing w:val="-3"/>
          <w:sz w:val="24"/>
          <w:lang w:val="en-GB" w:eastAsia="nl-NL"/>
        </w:rPr>
        <w:t>Within shortly, we will finish the analysis of these data</w:t>
      </w:r>
      <w:r>
        <w:rPr>
          <w:noProof/>
          <w:spacing w:val="-3"/>
          <w:sz w:val="24"/>
          <w:lang w:val="en-GB" w:eastAsia="nl-NL"/>
        </w:rPr>
        <w:t xml:space="preserve"> with the further exploration of response on the other social surveys and the costs of fieldwork. We would welcome additional ideas on how to further analyse the relation between fieldwork design and reponse, refusal and non-contact rates. </w:t>
      </w:r>
    </w:p>
    <w:p w:rsidR="0038404F" w:rsidRPr="00EC12DC" w:rsidRDefault="0038404F" w:rsidP="00896A59">
      <w:pPr>
        <w:rPr>
          <w:sz w:val="24"/>
          <w:lang w:val="en-GB"/>
        </w:rPr>
      </w:pPr>
      <w:bookmarkStart w:id="0" w:name="_GoBack"/>
      <w:bookmarkEnd w:id="0"/>
    </w:p>
    <w:p w:rsidR="00896A59" w:rsidRPr="00EC12DC" w:rsidRDefault="00DC1C87" w:rsidP="0038404F">
      <w:pPr>
        <w:pStyle w:val="Heading3"/>
        <w:spacing w:before="0" w:after="120"/>
        <w:rPr>
          <w:rFonts w:asciiTheme="minorHAnsi" w:hAnsiTheme="minorHAnsi"/>
          <w:sz w:val="24"/>
        </w:rPr>
      </w:pPr>
      <w:proofErr w:type="spellStart"/>
      <w:r w:rsidRPr="00EC12DC">
        <w:rPr>
          <w:rFonts w:asciiTheme="minorHAnsi" w:hAnsiTheme="minorHAnsi"/>
          <w:sz w:val="24"/>
        </w:rPr>
        <w:t>References</w:t>
      </w:r>
      <w:proofErr w:type="spellEnd"/>
    </w:p>
    <w:p w:rsidR="00AF136F" w:rsidRPr="00EC12DC" w:rsidRDefault="00AF136F" w:rsidP="00AF136F">
      <w:pPr>
        <w:rPr>
          <w:lang w:val="en-GB"/>
        </w:rPr>
      </w:pPr>
      <w:r w:rsidRPr="00EC12DC">
        <w:t xml:space="preserve">De Leeuw, E. </w:t>
      </w:r>
      <w:proofErr w:type="spellStart"/>
      <w:r w:rsidRPr="00EC12DC">
        <w:t>and</w:t>
      </w:r>
      <w:proofErr w:type="spellEnd"/>
      <w:r w:rsidRPr="00EC12DC">
        <w:t xml:space="preserve"> de Heer, W. (2002). </w:t>
      </w:r>
      <w:r w:rsidRPr="00EC12DC">
        <w:rPr>
          <w:lang w:val="en-GB"/>
        </w:rPr>
        <w:t xml:space="preserve">Trends in Household Survey Nonresponse: A longitudinal and international comparison. </w:t>
      </w:r>
      <w:proofErr w:type="gramStart"/>
      <w:r w:rsidRPr="00EC12DC">
        <w:rPr>
          <w:lang w:val="en-GB"/>
        </w:rPr>
        <w:t xml:space="preserve">In R.M. Groves, D.A. </w:t>
      </w:r>
      <w:proofErr w:type="spellStart"/>
      <w:r w:rsidRPr="00EC12DC">
        <w:rPr>
          <w:lang w:val="en-GB"/>
        </w:rPr>
        <w:t>Dillman</w:t>
      </w:r>
      <w:proofErr w:type="spellEnd"/>
      <w:r w:rsidRPr="00EC12DC">
        <w:rPr>
          <w:lang w:val="en-GB"/>
        </w:rPr>
        <w:t xml:space="preserve">, J.L. </w:t>
      </w:r>
      <w:proofErr w:type="spellStart"/>
      <w:r w:rsidRPr="00EC12DC">
        <w:rPr>
          <w:lang w:val="en-GB"/>
        </w:rPr>
        <w:t>Eltinge</w:t>
      </w:r>
      <w:proofErr w:type="spellEnd"/>
      <w:r w:rsidRPr="00EC12DC">
        <w:rPr>
          <w:lang w:val="en-GB"/>
        </w:rPr>
        <w:t xml:space="preserve"> and R.J. Little (Eds.) </w:t>
      </w:r>
      <w:r w:rsidRPr="00EC12DC">
        <w:rPr>
          <w:i/>
          <w:iCs/>
          <w:lang w:val="en-GB"/>
        </w:rPr>
        <w:t>Survey Nonresponse.</w:t>
      </w:r>
      <w:proofErr w:type="gramEnd"/>
      <w:r w:rsidRPr="00EC12DC">
        <w:rPr>
          <w:i/>
          <w:iCs/>
          <w:lang w:val="en-GB"/>
        </w:rPr>
        <w:t xml:space="preserve"> </w:t>
      </w:r>
      <w:r w:rsidRPr="00EC12DC">
        <w:rPr>
          <w:lang w:val="en-GB"/>
        </w:rPr>
        <w:t xml:space="preserve">New York: Wiley &amp; sons. </w:t>
      </w:r>
    </w:p>
    <w:p w:rsidR="00260D54" w:rsidRDefault="00260D54" w:rsidP="00260D54">
      <w:pPr>
        <w:rPr>
          <w:spacing w:val="-3"/>
          <w:szCs w:val="20"/>
          <w:lang w:val="de-DE"/>
        </w:rPr>
      </w:pPr>
      <w:proofErr w:type="spellStart"/>
      <w:r w:rsidRPr="00EC12DC">
        <w:rPr>
          <w:spacing w:val="-3"/>
          <w:szCs w:val="20"/>
          <w:lang w:val="de-DE"/>
        </w:rPr>
        <w:t>Guilford</w:t>
      </w:r>
      <w:proofErr w:type="spellEnd"/>
      <w:r w:rsidRPr="00EC12DC">
        <w:rPr>
          <w:spacing w:val="-3"/>
          <w:szCs w:val="20"/>
          <w:lang w:val="de-DE"/>
        </w:rPr>
        <w:t xml:space="preserve">, J.P.  </w:t>
      </w:r>
      <w:proofErr w:type="gramStart"/>
      <w:r w:rsidRPr="00EC12DC">
        <w:rPr>
          <w:spacing w:val="-3"/>
          <w:szCs w:val="20"/>
          <w:lang w:val="en-GB"/>
        </w:rPr>
        <w:t xml:space="preserve">&amp; </w:t>
      </w:r>
      <w:proofErr w:type="spellStart"/>
      <w:r w:rsidRPr="00EC12DC">
        <w:rPr>
          <w:spacing w:val="-3"/>
          <w:szCs w:val="20"/>
          <w:lang w:val="en-GB"/>
        </w:rPr>
        <w:t>Fruchter</w:t>
      </w:r>
      <w:proofErr w:type="spellEnd"/>
      <w:r w:rsidRPr="00EC12DC">
        <w:rPr>
          <w:spacing w:val="-3"/>
          <w:szCs w:val="20"/>
          <w:lang w:val="en-GB"/>
        </w:rPr>
        <w:t>, B. (1978).</w:t>
      </w:r>
      <w:proofErr w:type="gramEnd"/>
      <w:r w:rsidRPr="00EC12DC">
        <w:rPr>
          <w:spacing w:val="-3"/>
          <w:szCs w:val="20"/>
          <w:lang w:val="en-GB"/>
        </w:rPr>
        <w:t xml:space="preserve"> </w:t>
      </w:r>
      <w:proofErr w:type="gramStart"/>
      <w:r w:rsidRPr="00EC12DC">
        <w:rPr>
          <w:rFonts w:cs="Times New Roman"/>
          <w:i/>
          <w:szCs w:val="20"/>
          <w:lang w:val="en-GB"/>
        </w:rPr>
        <w:t>Fundamental statistics in psychology and education</w:t>
      </w:r>
      <w:r w:rsidRPr="00EC12DC">
        <w:rPr>
          <w:rFonts w:cs="Times New Roman"/>
          <w:szCs w:val="20"/>
          <w:lang w:val="en-GB"/>
        </w:rPr>
        <w:t>.</w:t>
      </w:r>
      <w:proofErr w:type="gramEnd"/>
      <w:r w:rsidRPr="00EC12DC">
        <w:rPr>
          <w:rFonts w:cs="Times New Roman"/>
          <w:szCs w:val="20"/>
          <w:lang w:val="en-GB"/>
        </w:rPr>
        <w:t xml:space="preserve"> </w:t>
      </w:r>
      <w:r w:rsidRPr="00EC12DC">
        <w:rPr>
          <w:spacing w:val="-3"/>
          <w:szCs w:val="20"/>
          <w:lang w:val="de-DE"/>
        </w:rPr>
        <w:t>New York: McGraw-Hill</w:t>
      </w:r>
    </w:p>
    <w:p w:rsidR="00C73B4B" w:rsidRDefault="00C73B4B">
      <w:pPr>
        <w:rPr>
          <w:spacing w:val="-3"/>
          <w:szCs w:val="20"/>
          <w:lang w:val="de-DE"/>
        </w:rPr>
      </w:pPr>
      <w:r>
        <w:rPr>
          <w:spacing w:val="-3"/>
          <w:szCs w:val="20"/>
          <w:lang w:val="de-DE"/>
        </w:rPr>
        <w:br w:type="page"/>
      </w:r>
    </w:p>
    <w:p w:rsidR="00C73B4B" w:rsidRPr="00C73B4B" w:rsidRDefault="00F73215" w:rsidP="00F73215">
      <w:pPr>
        <w:pStyle w:val="Heading3"/>
        <w:rPr>
          <w:lang w:val="en-GB"/>
        </w:rPr>
      </w:pPr>
      <w:r w:rsidRPr="00F73215">
        <w:rPr>
          <w:rFonts w:asciiTheme="minorHAnsi" w:hAnsiTheme="minorHAnsi"/>
          <w:lang w:val="en-GB"/>
        </w:rPr>
        <w:lastRenderedPageBreak/>
        <w:t>Appendix</w:t>
      </w:r>
      <w:r>
        <w:rPr>
          <w:lang w:val="en-GB"/>
        </w:rPr>
        <w:t xml:space="preserve">: </w:t>
      </w:r>
      <w:r w:rsidR="00C73B4B" w:rsidRPr="00C73B4B">
        <w:rPr>
          <w:lang w:val="en-GB"/>
        </w:rPr>
        <w:t>Graphs</w:t>
      </w:r>
    </w:p>
    <w:p w:rsidR="00C73B4B" w:rsidRPr="00C73B4B" w:rsidRDefault="00C73B4B" w:rsidP="00C73B4B">
      <w:pPr>
        <w:rPr>
          <w:spacing w:val="-3"/>
          <w:lang w:val="en-GB"/>
        </w:rPr>
      </w:pPr>
    </w:p>
    <w:p w:rsidR="00C73B4B" w:rsidRDefault="00C73B4B" w:rsidP="00C73B4B">
      <w:pPr>
        <w:rPr>
          <w:spacing w:val="-3"/>
        </w:rPr>
      </w:pPr>
      <w:r w:rsidRPr="00E83DFA">
        <w:rPr>
          <w:noProof/>
          <w:spacing w:val="-3"/>
          <w:lang w:val="en-US"/>
        </w:rPr>
        <w:drawing>
          <wp:inline distT="0" distB="0" distL="0" distR="0" wp14:anchorId="15D7295C" wp14:editId="7A5A5F6C">
            <wp:extent cx="5761355" cy="460920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1355" cy="4609207"/>
                    </a:xfrm>
                    <a:prstGeom prst="rect">
                      <a:avLst/>
                    </a:prstGeom>
                  </pic:spPr>
                </pic:pic>
              </a:graphicData>
            </a:graphic>
          </wp:inline>
        </w:drawing>
      </w:r>
    </w:p>
    <w:p w:rsidR="00C73B4B" w:rsidRPr="00F73215" w:rsidRDefault="00C73B4B" w:rsidP="00C73B4B">
      <w:pPr>
        <w:rPr>
          <w:spacing w:val="-3"/>
          <w:lang w:val="en-GB"/>
        </w:rPr>
      </w:pPr>
      <w:proofErr w:type="gramStart"/>
      <w:r w:rsidRPr="00C73B4B">
        <w:rPr>
          <w:spacing w:val="-3"/>
          <w:lang w:val="en-GB"/>
        </w:rPr>
        <w:t>Figure 1.</w:t>
      </w:r>
      <w:proofErr w:type="gramEnd"/>
      <w:r w:rsidRPr="00C73B4B">
        <w:rPr>
          <w:spacing w:val="-3"/>
          <w:lang w:val="en-GB"/>
        </w:rPr>
        <w:t xml:space="preserve"> Combined data, noncontact against year code, separate graphs for mandatory and voluntary surveys. </w:t>
      </w:r>
      <w:r w:rsidR="00F73215">
        <w:rPr>
          <w:spacing w:val="-3"/>
          <w:lang w:val="en-GB"/>
        </w:rPr>
        <w:t xml:space="preserve">The </w:t>
      </w:r>
      <w:r w:rsidRPr="00F73215">
        <w:rPr>
          <w:spacing w:val="-3"/>
          <w:lang w:val="en-GB"/>
        </w:rPr>
        <w:t xml:space="preserve">de Leeuw and de Heer data </w:t>
      </w:r>
      <w:r w:rsidR="00F73215" w:rsidRPr="00F73215">
        <w:rPr>
          <w:spacing w:val="-3"/>
          <w:lang w:val="en-GB"/>
        </w:rPr>
        <w:t xml:space="preserve">have </w:t>
      </w:r>
      <w:r w:rsidRPr="00F73215">
        <w:rPr>
          <w:spacing w:val="-3"/>
          <w:lang w:val="en-GB"/>
        </w:rPr>
        <w:t>negative year codes.</w:t>
      </w:r>
    </w:p>
    <w:p w:rsidR="00C73B4B" w:rsidRPr="00F73215" w:rsidRDefault="00C73B4B" w:rsidP="00C73B4B">
      <w:pPr>
        <w:autoSpaceDE w:val="0"/>
        <w:autoSpaceDN w:val="0"/>
        <w:adjustRightInd w:val="0"/>
        <w:rPr>
          <w:spacing w:val="-3"/>
          <w:lang w:val="en-GB"/>
        </w:rPr>
      </w:pPr>
    </w:p>
    <w:p w:rsidR="00C73B4B" w:rsidRPr="00F73215" w:rsidRDefault="00C73B4B" w:rsidP="00C73B4B">
      <w:pPr>
        <w:autoSpaceDE w:val="0"/>
        <w:autoSpaceDN w:val="0"/>
        <w:adjustRightInd w:val="0"/>
        <w:rPr>
          <w:spacing w:val="-3"/>
          <w:lang w:val="en-GB"/>
        </w:rPr>
      </w:pPr>
    </w:p>
    <w:p w:rsidR="00C73B4B" w:rsidRPr="00F73215" w:rsidRDefault="00C73B4B" w:rsidP="00C73B4B">
      <w:pPr>
        <w:autoSpaceDE w:val="0"/>
        <w:autoSpaceDN w:val="0"/>
        <w:adjustRightInd w:val="0"/>
        <w:rPr>
          <w:spacing w:val="-3"/>
          <w:lang w:val="en-GB"/>
        </w:rPr>
      </w:pPr>
    </w:p>
    <w:p w:rsidR="00C73B4B" w:rsidRPr="00F73215" w:rsidRDefault="00C73B4B" w:rsidP="00C73B4B">
      <w:pPr>
        <w:autoSpaceDE w:val="0"/>
        <w:autoSpaceDN w:val="0"/>
        <w:adjustRightInd w:val="0"/>
        <w:rPr>
          <w:noProof/>
          <w:spacing w:val="-3"/>
          <w:lang w:val="en-GB"/>
        </w:rPr>
      </w:pPr>
    </w:p>
    <w:p w:rsidR="00C73B4B" w:rsidRDefault="00C73B4B" w:rsidP="00C73B4B">
      <w:pPr>
        <w:autoSpaceDE w:val="0"/>
        <w:autoSpaceDN w:val="0"/>
        <w:adjustRightInd w:val="0"/>
        <w:rPr>
          <w:spacing w:val="-3"/>
        </w:rPr>
      </w:pPr>
    </w:p>
    <w:p w:rsidR="00C73B4B" w:rsidRDefault="00C73B4B" w:rsidP="00C73B4B">
      <w:pPr>
        <w:autoSpaceDE w:val="0"/>
        <w:autoSpaceDN w:val="0"/>
        <w:adjustRightInd w:val="0"/>
        <w:rPr>
          <w:spacing w:val="-3"/>
        </w:rPr>
      </w:pPr>
    </w:p>
    <w:p w:rsidR="00C73B4B" w:rsidRDefault="00C73B4B" w:rsidP="00C73B4B">
      <w:pPr>
        <w:rPr>
          <w:spacing w:val="-3"/>
        </w:rPr>
      </w:pPr>
      <w:r w:rsidRPr="00E83DFA">
        <w:rPr>
          <w:noProof/>
          <w:spacing w:val="-3"/>
          <w:lang w:val="en-US"/>
        </w:rPr>
        <w:lastRenderedPageBreak/>
        <w:drawing>
          <wp:inline distT="0" distB="0" distL="0" distR="0" wp14:anchorId="622B5E58" wp14:editId="34CF4C22">
            <wp:extent cx="4655218" cy="37242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655218" cy="3724275"/>
                    </a:xfrm>
                    <a:prstGeom prst="rect">
                      <a:avLst/>
                    </a:prstGeom>
                  </pic:spPr>
                </pic:pic>
              </a:graphicData>
            </a:graphic>
          </wp:inline>
        </w:drawing>
      </w:r>
    </w:p>
    <w:p w:rsidR="00C73B4B" w:rsidRPr="00F73215" w:rsidRDefault="00C73B4B" w:rsidP="00C73B4B">
      <w:pPr>
        <w:rPr>
          <w:spacing w:val="-3"/>
          <w:lang w:val="en-GB"/>
        </w:rPr>
      </w:pPr>
      <w:proofErr w:type="gramStart"/>
      <w:r w:rsidRPr="00C73B4B">
        <w:rPr>
          <w:spacing w:val="-3"/>
          <w:lang w:val="en-GB"/>
        </w:rPr>
        <w:t>Figure 2.</w:t>
      </w:r>
      <w:proofErr w:type="gramEnd"/>
      <w:r w:rsidRPr="00C73B4B">
        <w:rPr>
          <w:spacing w:val="-3"/>
          <w:lang w:val="en-GB"/>
        </w:rPr>
        <w:t xml:space="preserve"> Combined data, refusal against year code, separate for mandatory and voluntary. </w:t>
      </w:r>
      <w:r w:rsidR="00F73215">
        <w:rPr>
          <w:spacing w:val="-3"/>
          <w:lang w:val="en-GB"/>
        </w:rPr>
        <w:t xml:space="preserve">The </w:t>
      </w:r>
      <w:r w:rsidRPr="00F73215">
        <w:rPr>
          <w:spacing w:val="-3"/>
          <w:lang w:val="en-GB"/>
        </w:rPr>
        <w:t xml:space="preserve">de Leeuw and de Heer data </w:t>
      </w:r>
      <w:r w:rsidR="00F73215" w:rsidRPr="00F73215">
        <w:rPr>
          <w:spacing w:val="-3"/>
          <w:lang w:val="en-GB"/>
        </w:rPr>
        <w:t xml:space="preserve">have </w:t>
      </w:r>
      <w:r w:rsidRPr="00F73215">
        <w:rPr>
          <w:spacing w:val="-3"/>
          <w:lang w:val="en-GB"/>
        </w:rPr>
        <w:t>negative year codes.</w:t>
      </w:r>
    </w:p>
    <w:p w:rsidR="00C73B4B" w:rsidRPr="00F73215" w:rsidRDefault="00C73B4B" w:rsidP="00C73B4B">
      <w:pPr>
        <w:rPr>
          <w:spacing w:val="-3"/>
          <w:lang w:val="en-GB"/>
        </w:rPr>
      </w:pPr>
    </w:p>
    <w:p w:rsidR="00C73B4B" w:rsidRDefault="00C73B4B" w:rsidP="00C73B4B">
      <w:pPr>
        <w:rPr>
          <w:spacing w:val="-3"/>
        </w:rPr>
      </w:pPr>
      <w:r w:rsidRPr="008525D0">
        <w:rPr>
          <w:noProof/>
          <w:spacing w:val="-3"/>
          <w:lang w:val="en-US"/>
        </w:rPr>
        <w:drawing>
          <wp:inline distT="0" distB="0" distL="0" distR="0" wp14:anchorId="35DE4F4A" wp14:editId="2C94A12D">
            <wp:extent cx="4798089" cy="383857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797287" cy="3837933"/>
                    </a:xfrm>
                    <a:prstGeom prst="rect">
                      <a:avLst/>
                    </a:prstGeom>
                  </pic:spPr>
                </pic:pic>
              </a:graphicData>
            </a:graphic>
          </wp:inline>
        </w:drawing>
      </w:r>
    </w:p>
    <w:p w:rsidR="00C73B4B" w:rsidRDefault="00C73B4B" w:rsidP="00C73B4B">
      <w:pPr>
        <w:rPr>
          <w:spacing w:val="-3"/>
        </w:rPr>
      </w:pPr>
      <w:proofErr w:type="gramStart"/>
      <w:r w:rsidRPr="00C73B4B">
        <w:rPr>
          <w:spacing w:val="-3"/>
          <w:lang w:val="en-GB"/>
        </w:rPr>
        <w:t>Figure 3.</w:t>
      </w:r>
      <w:proofErr w:type="gramEnd"/>
      <w:r w:rsidRPr="00C73B4B">
        <w:rPr>
          <w:spacing w:val="-3"/>
          <w:lang w:val="en-GB"/>
        </w:rPr>
        <w:t xml:space="preserve"> Combined data, response against year code, separate for mandatory and voluntary. </w:t>
      </w:r>
      <w:proofErr w:type="spellStart"/>
      <w:r w:rsidRPr="008525D0">
        <w:rPr>
          <w:spacing w:val="-3"/>
        </w:rPr>
        <w:t>Note</w:t>
      </w:r>
      <w:proofErr w:type="spellEnd"/>
      <w:r w:rsidRPr="008525D0">
        <w:rPr>
          <w:spacing w:val="-3"/>
        </w:rPr>
        <w:t xml:space="preserve"> de Leeuw </w:t>
      </w:r>
      <w:proofErr w:type="spellStart"/>
      <w:r w:rsidRPr="008525D0">
        <w:rPr>
          <w:spacing w:val="-3"/>
        </w:rPr>
        <w:t>and</w:t>
      </w:r>
      <w:proofErr w:type="spellEnd"/>
      <w:r w:rsidRPr="008525D0">
        <w:rPr>
          <w:spacing w:val="-3"/>
        </w:rPr>
        <w:t xml:space="preserve"> de Heer data </w:t>
      </w:r>
      <w:proofErr w:type="spellStart"/>
      <w:r w:rsidRPr="008525D0">
        <w:rPr>
          <w:spacing w:val="-3"/>
        </w:rPr>
        <w:t>negative</w:t>
      </w:r>
      <w:proofErr w:type="spellEnd"/>
      <w:r w:rsidRPr="008525D0">
        <w:rPr>
          <w:spacing w:val="-3"/>
        </w:rPr>
        <w:t xml:space="preserve"> </w:t>
      </w:r>
      <w:proofErr w:type="spellStart"/>
      <w:r w:rsidRPr="008525D0">
        <w:rPr>
          <w:spacing w:val="-3"/>
        </w:rPr>
        <w:t>year</w:t>
      </w:r>
      <w:proofErr w:type="spellEnd"/>
      <w:r w:rsidRPr="008525D0">
        <w:rPr>
          <w:spacing w:val="-3"/>
        </w:rPr>
        <w:t xml:space="preserve"> codes.</w:t>
      </w:r>
    </w:p>
    <w:p w:rsidR="00F73215" w:rsidRDefault="00F73215" w:rsidP="00C73B4B">
      <w:pPr>
        <w:rPr>
          <w:spacing w:val="-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22"/>
        <w:gridCol w:w="2322"/>
        <w:gridCol w:w="2323"/>
      </w:tblGrid>
      <w:tr w:rsidR="00F73215" w:rsidRPr="00F73215" w:rsidTr="009F3646">
        <w:tc>
          <w:tcPr>
            <w:tcW w:w="9288" w:type="dxa"/>
            <w:gridSpan w:val="4"/>
            <w:tcBorders>
              <w:top w:val="nil"/>
              <w:left w:val="nil"/>
              <w:bottom w:val="single" w:sz="4" w:space="0" w:color="auto"/>
              <w:right w:val="nil"/>
            </w:tcBorders>
            <w:hideMark/>
          </w:tcPr>
          <w:p w:rsidR="009F3646" w:rsidRDefault="009F3646" w:rsidP="009F3646">
            <w:pPr>
              <w:rPr>
                <w:spacing w:val="-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1"/>
              <w:gridCol w:w="2265"/>
              <w:gridCol w:w="2265"/>
              <w:gridCol w:w="2271"/>
            </w:tblGrid>
            <w:tr w:rsidR="009F3646" w:rsidRPr="00F73215" w:rsidTr="009F3646">
              <w:tc>
                <w:tcPr>
                  <w:tcW w:w="9072" w:type="dxa"/>
                  <w:gridSpan w:val="4"/>
                  <w:tcBorders>
                    <w:top w:val="nil"/>
                    <w:left w:val="nil"/>
                    <w:bottom w:val="single" w:sz="4" w:space="0" w:color="auto"/>
                    <w:right w:val="nil"/>
                  </w:tcBorders>
                  <w:hideMark/>
                </w:tcPr>
                <w:p w:rsidR="00DA366A" w:rsidRPr="009F3646" w:rsidRDefault="009F3646" w:rsidP="00DA366A">
                  <w:pPr>
                    <w:rPr>
                      <w:rFonts w:asciiTheme="minorHAnsi" w:hAnsiTheme="minorHAnsi"/>
                      <w:spacing w:val="-3"/>
                    </w:rPr>
                  </w:pPr>
                  <w:r w:rsidRPr="00DA366A">
                    <w:rPr>
                      <w:rFonts w:asciiTheme="minorHAnsi" w:hAnsiTheme="minorHAnsi"/>
                      <w:spacing w:val="-3"/>
                      <w:sz w:val="22"/>
                    </w:rPr>
                    <w:t>Results multilevel regressions Response Logit, combined data. Estimates and (standard errors)</w:t>
                  </w:r>
                </w:p>
              </w:tc>
            </w:tr>
            <w:tr w:rsidR="009F3646" w:rsidRPr="002B5BBD" w:rsidTr="009F3646">
              <w:tc>
                <w:tcPr>
                  <w:tcW w:w="2271" w:type="dxa"/>
                  <w:tcBorders>
                    <w:top w:val="single" w:sz="4" w:space="0" w:color="auto"/>
                    <w:bottom w:val="single" w:sz="4" w:space="0" w:color="auto"/>
                    <w:right w:val="single" w:sz="4" w:space="0" w:color="auto"/>
                  </w:tcBorders>
                </w:tcPr>
                <w:p w:rsidR="009F3646" w:rsidRPr="002B5BBD" w:rsidRDefault="009F3646" w:rsidP="009F3646">
                  <w:pPr>
                    <w:rPr>
                      <w:spacing w:val="-3"/>
                    </w:rPr>
                  </w:pPr>
                </w:p>
              </w:tc>
              <w:tc>
                <w:tcPr>
                  <w:tcW w:w="2265" w:type="dxa"/>
                  <w:tcBorders>
                    <w:top w:val="single" w:sz="4" w:space="0" w:color="auto"/>
                    <w:left w:val="single" w:sz="4" w:space="0" w:color="auto"/>
                    <w:bottom w:val="single" w:sz="4" w:space="0" w:color="auto"/>
                    <w:right w:val="single" w:sz="4" w:space="0" w:color="auto"/>
                  </w:tcBorders>
                </w:tcPr>
                <w:p w:rsidR="009F3646" w:rsidRPr="002B5BBD" w:rsidRDefault="009F3646" w:rsidP="009F3646">
                  <w:pPr>
                    <w:rPr>
                      <w:spacing w:val="-3"/>
                    </w:rPr>
                  </w:pPr>
                  <w:r w:rsidRPr="002B5BBD">
                    <w:rPr>
                      <w:spacing w:val="-3"/>
                    </w:rPr>
                    <w:t>de Leeuw &amp; de Heer</w:t>
                  </w:r>
                </w:p>
              </w:tc>
              <w:tc>
                <w:tcPr>
                  <w:tcW w:w="2265" w:type="dxa"/>
                  <w:tcBorders>
                    <w:top w:val="single" w:sz="4" w:space="0" w:color="auto"/>
                    <w:left w:val="single" w:sz="4" w:space="0" w:color="auto"/>
                    <w:bottom w:val="single" w:sz="4" w:space="0" w:color="auto"/>
                    <w:right w:val="single" w:sz="4" w:space="0" w:color="auto"/>
                  </w:tcBorders>
                </w:tcPr>
                <w:p w:rsidR="009F3646" w:rsidRPr="002B5BBD" w:rsidRDefault="009F3646" w:rsidP="009F3646">
                  <w:pPr>
                    <w:rPr>
                      <w:spacing w:val="-3"/>
                    </w:rPr>
                  </w:pPr>
                  <w:r>
                    <w:rPr>
                      <w:spacing w:val="-3"/>
                    </w:rPr>
                    <w:t>Luiten</w:t>
                  </w:r>
                  <w:r w:rsidRPr="002B5BBD">
                    <w:rPr>
                      <w:spacing w:val="-3"/>
                    </w:rPr>
                    <w:t xml:space="preserve"> et al</w:t>
                  </w:r>
                </w:p>
              </w:tc>
              <w:tc>
                <w:tcPr>
                  <w:tcW w:w="2271" w:type="dxa"/>
                  <w:tcBorders>
                    <w:top w:val="single" w:sz="4" w:space="0" w:color="auto"/>
                    <w:left w:val="single" w:sz="4" w:space="0" w:color="auto"/>
                    <w:bottom w:val="single" w:sz="4" w:space="0" w:color="auto"/>
                    <w:right w:val="single" w:sz="4" w:space="0" w:color="auto"/>
                  </w:tcBorders>
                </w:tcPr>
                <w:p w:rsidR="009F3646" w:rsidRPr="002B5BBD" w:rsidRDefault="009F3646" w:rsidP="009F3646">
                  <w:pPr>
                    <w:rPr>
                      <w:spacing w:val="-3"/>
                    </w:rPr>
                  </w:pPr>
                  <w:r w:rsidRPr="002B5BBD">
                    <w:rPr>
                      <w:spacing w:val="-3"/>
                    </w:rPr>
                    <w:t>Combined</w:t>
                  </w:r>
                </w:p>
              </w:tc>
            </w:tr>
            <w:tr w:rsidR="009F3646" w:rsidRPr="002B5BBD" w:rsidTr="009F3646">
              <w:tc>
                <w:tcPr>
                  <w:tcW w:w="2271" w:type="dxa"/>
                  <w:tcBorders>
                    <w:top w:val="single" w:sz="4" w:space="0" w:color="auto"/>
                  </w:tcBorders>
                  <w:hideMark/>
                </w:tcPr>
                <w:p w:rsidR="009F3646" w:rsidRPr="009F3646" w:rsidRDefault="009F3646" w:rsidP="009F3646">
                  <w:pPr>
                    <w:rPr>
                      <w:rFonts w:asciiTheme="minorHAnsi" w:hAnsiTheme="minorHAnsi"/>
                      <w:spacing w:val="-3"/>
                    </w:rPr>
                  </w:pPr>
                  <w:r w:rsidRPr="009F3646">
                    <w:rPr>
                      <w:rFonts w:asciiTheme="minorHAnsi" w:hAnsiTheme="minorHAnsi"/>
                      <w:spacing w:val="-3"/>
                    </w:rPr>
                    <w:t>Intercept</w:t>
                  </w:r>
                </w:p>
              </w:tc>
              <w:tc>
                <w:tcPr>
                  <w:tcW w:w="2265" w:type="dxa"/>
                  <w:tcBorders>
                    <w:top w:val="single" w:sz="4" w:space="0" w:color="auto"/>
                  </w:tcBorders>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 1.768   (.255)</w:t>
                  </w:r>
                </w:p>
              </w:tc>
              <w:tc>
                <w:tcPr>
                  <w:tcW w:w="2265" w:type="dxa"/>
                  <w:tcBorders>
                    <w:top w:val="single" w:sz="4" w:space="0" w:color="auto"/>
                  </w:tcBorders>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 1.561   (.159)</w:t>
                  </w:r>
                </w:p>
              </w:tc>
              <w:tc>
                <w:tcPr>
                  <w:tcW w:w="2271" w:type="dxa"/>
                  <w:tcBorders>
                    <w:top w:val="single" w:sz="4" w:space="0" w:color="auto"/>
                  </w:tcBorders>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 1.670   (.150)</w:t>
                  </w:r>
                </w:p>
              </w:tc>
            </w:tr>
            <w:tr w:rsidR="009F3646" w:rsidRPr="002B5BBD" w:rsidTr="009F3646">
              <w:tc>
                <w:tcPr>
                  <w:tcW w:w="2271" w:type="dxa"/>
                  <w:hideMark/>
                </w:tcPr>
                <w:p w:rsidR="009F3646" w:rsidRPr="009F3646" w:rsidRDefault="009F3646" w:rsidP="009F3646">
                  <w:pPr>
                    <w:rPr>
                      <w:rFonts w:asciiTheme="minorHAnsi" w:hAnsiTheme="minorHAnsi"/>
                      <w:spacing w:val="-3"/>
                    </w:rPr>
                  </w:pPr>
                  <w:r w:rsidRPr="009F3646">
                    <w:rPr>
                      <w:rFonts w:asciiTheme="minorHAnsi" w:hAnsiTheme="minorHAnsi"/>
                      <w:spacing w:val="-3"/>
                    </w:rPr>
                    <w:t>Year</w:t>
                  </w:r>
                  <w:r w:rsidRPr="009F3646">
                    <w:rPr>
                      <w:rFonts w:asciiTheme="minorHAnsi" w:hAnsiTheme="minorHAnsi"/>
                      <w:spacing w:val="-3"/>
                    </w:rPr>
                    <w:tab/>
                  </w:r>
                </w:p>
              </w:tc>
              <w:tc>
                <w:tcPr>
                  <w:tcW w:w="2265" w:type="dxa"/>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-0.021 </w:t>
                  </w:r>
                  <w:r w:rsidRPr="009F3646">
                    <w:rPr>
                      <w:rFonts w:asciiTheme="minorHAnsi" w:hAnsiTheme="minorHAnsi"/>
                      <w:color w:val="FFFFFF"/>
                    </w:rPr>
                    <w:t xml:space="preserve"> '</w:t>
                  </w:r>
                  <w:r w:rsidRPr="009F3646">
                    <w:rPr>
                      <w:rFonts w:asciiTheme="minorHAnsi" w:hAnsiTheme="minorHAnsi"/>
                      <w:color w:val="000000"/>
                    </w:rPr>
                    <w:t>(.014) (ns)</w:t>
                  </w:r>
                </w:p>
              </w:tc>
              <w:tc>
                <w:tcPr>
                  <w:tcW w:w="2265" w:type="dxa"/>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-0.032  </w:t>
                  </w:r>
                  <w:r w:rsidRPr="009F3646">
                    <w:rPr>
                      <w:rFonts w:asciiTheme="minorHAnsi" w:hAnsiTheme="minorHAnsi"/>
                      <w:color w:val="FFFFFF"/>
                    </w:rPr>
                    <w:t>'</w:t>
                  </w:r>
                  <w:r w:rsidRPr="009F3646">
                    <w:rPr>
                      <w:rFonts w:asciiTheme="minorHAnsi" w:hAnsiTheme="minorHAnsi"/>
                      <w:color w:val="000000"/>
                    </w:rPr>
                    <w:t>(.008)</w:t>
                  </w:r>
                </w:p>
              </w:tc>
              <w:tc>
                <w:tcPr>
                  <w:tcW w:w="2271" w:type="dxa"/>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-0.046  </w:t>
                  </w:r>
                  <w:r w:rsidRPr="009F3646">
                    <w:rPr>
                      <w:rFonts w:asciiTheme="minorHAnsi" w:hAnsiTheme="minorHAnsi"/>
                      <w:color w:val="FFFFFF"/>
                    </w:rPr>
                    <w:t>'</w:t>
                  </w:r>
                  <w:r w:rsidRPr="009F3646">
                    <w:rPr>
                      <w:rFonts w:asciiTheme="minorHAnsi" w:hAnsiTheme="minorHAnsi"/>
                      <w:color w:val="000000"/>
                    </w:rPr>
                    <w:t>(.008)</w:t>
                  </w:r>
                </w:p>
              </w:tc>
            </w:tr>
            <w:tr w:rsidR="009F3646" w:rsidRPr="002B5BBD" w:rsidTr="009F3646">
              <w:tc>
                <w:tcPr>
                  <w:tcW w:w="2271" w:type="dxa"/>
                </w:tcPr>
                <w:p w:rsidR="009F3646" w:rsidRPr="009F3646" w:rsidRDefault="009F3646" w:rsidP="009F3646">
                  <w:pPr>
                    <w:rPr>
                      <w:rFonts w:asciiTheme="minorHAnsi" w:hAnsiTheme="minorHAnsi"/>
                      <w:spacing w:val="-3"/>
                    </w:rPr>
                  </w:pPr>
                  <w:r w:rsidRPr="009F3646">
                    <w:rPr>
                      <w:rFonts w:asciiTheme="minorHAnsi" w:hAnsiTheme="minorHAnsi"/>
                      <w:spacing w:val="-3"/>
                    </w:rPr>
                    <w:t>Mandatory</w:t>
                  </w:r>
                </w:p>
              </w:tc>
              <w:tc>
                <w:tcPr>
                  <w:tcW w:w="2265" w:type="dxa"/>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 0.842   (.369)</w:t>
                  </w:r>
                </w:p>
              </w:tc>
              <w:tc>
                <w:tcPr>
                  <w:tcW w:w="2265" w:type="dxa"/>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 0.314   (.127)</w:t>
                  </w:r>
                </w:p>
              </w:tc>
              <w:tc>
                <w:tcPr>
                  <w:tcW w:w="2271" w:type="dxa"/>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 0.443   (.149)</w:t>
                  </w:r>
                </w:p>
              </w:tc>
            </w:tr>
            <w:tr w:rsidR="009F3646" w:rsidRPr="002B5BBD" w:rsidTr="009F3646">
              <w:tc>
                <w:tcPr>
                  <w:tcW w:w="2271" w:type="dxa"/>
                  <w:hideMark/>
                </w:tcPr>
                <w:p w:rsidR="009F3646" w:rsidRPr="002B5BBD" w:rsidRDefault="009F3646" w:rsidP="009F3646">
                  <w:pPr>
                    <w:rPr>
                      <w:spacing w:val="-3"/>
                    </w:rPr>
                  </w:pPr>
                  <w:r w:rsidRPr="002B5BBD">
                    <w:rPr>
                      <w:rFonts w:asciiTheme="minorHAnsi" w:eastAsiaTheme="minorHAnsi" w:hAnsiTheme="minorHAnsi" w:cstheme="minorBidi"/>
                      <w:spacing w:val="-3"/>
                      <w:sz w:val="22"/>
                      <w:szCs w:val="22"/>
                      <w:lang w:val="nl-NL"/>
                    </w:rPr>
                    <w:object w:dxaOrig="324" w:dyaOrig="384">
                      <v:shape id="_x0000_i1028" type="#_x0000_t75" style="width:16.8pt;height:19.8pt" o:ole="">
                        <v:imagedata r:id="rId21" o:title=""/>
                      </v:shape>
                      <o:OLEObject Type="Embed" ProgID="Equation.DSMT4" ShapeID="_x0000_i1028" DrawAspect="Content" ObjectID="_1564566727" r:id="rId22"/>
                    </w:object>
                  </w:r>
                  <w:r w:rsidRPr="002B5BBD">
                    <w:rPr>
                      <w:spacing w:val="-3"/>
                    </w:rPr>
                    <w:t xml:space="preserve"> </w:t>
                  </w:r>
                </w:p>
              </w:tc>
              <w:tc>
                <w:tcPr>
                  <w:tcW w:w="2265" w:type="dxa"/>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 0.019   (.002)</w:t>
                  </w:r>
                </w:p>
              </w:tc>
              <w:tc>
                <w:tcPr>
                  <w:tcW w:w="2265" w:type="dxa"/>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 0.032   (.003)</w:t>
                  </w:r>
                </w:p>
              </w:tc>
              <w:tc>
                <w:tcPr>
                  <w:tcW w:w="2271" w:type="dxa"/>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 0.052   (.003)</w:t>
                  </w:r>
                </w:p>
              </w:tc>
            </w:tr>
            <w:tr w:rsidR="009F3646" w:rsidRPr="002B5BBD" w:rsidTr="009F3646">
              <w:tc>
                <w:tcPr>
                  <w:tcW w:w="2271" w:type="dxa"/>
                  <w:hideMark/>
                </w:tcPr>
                <w:p w:rsidR="009F3646" w:rsidRPr="002B5BBD" w:rsidRDefault="009F3646" w:rsidP="009F3646">
                  <w:pPr>
                    <w:rPr>
                      <w:spacing w:val="-3"/>
                    </w:rPr>
                  </w:pPr>
                  <w:r w:rsidRPr="002B5BBD">
                    <w:rPr>
                      <w:rFonts w:asciiTheme="minorHAnsi" w:eastAsiaTheme="minorHAnsi" w:hAnsiTheme="minorHAnsi" w:cstheme="minorBidi"/>
                      <w:spacing w:val="-3"/>
                      <w:sz w:val="22"/>
                      <w:szCs w:val="22"/>
                      <w:lang w:val="nl-NL"/>
                    </w:rPr>
                    <w:object w:dxaOrig="384" w:dyaOrig="384">
                      <v:shape id="_x0000_i1029" type="#_x0000_t75" style="width:19.8pt;height:19.8pt" o:ole="">
                        <v:imagedata r:id="rId23" o:title=""/>
                      </v:shape>
                      <o:OLEObject Type="Embed" ProgID="Equation.DSMT4" ShapeID="_x0000_i1029" DrawAspect="Content" ObjectID="_1564566728" r:id="rId24"/>
                    </w:object>
                  </w:r>
                </w:p>
              </w:tc>
              <w:tc>
                <w:tcPr>
                  <w:tcW w:w="2265" w:type="dxa"/>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 0.618   (.247)</w:t>
                  </w:r>
                </w:p>
              </w:tc>
              <w:tc>
                <w:tcPr>
                  <w:tcW w:w="2265" w:type="dxa"/>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 0.524   (.163)</w:t>
                  </w:r>
                </w:p>
              </w:tc>
              <w:tc>
                <w:tcPr>
                  <w:tcW w:w="2271" w:type="dxa"/>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 0.472   (.143)</w:t>
                  </w:r>
                </w:p>
              </w:tc>
            </w:tr>
            <w:tr w:rsidR="009F3646" w:rsidRPr="002B5BBD" w:rsidTr="009F3646">
              <w:tc>
                <w:tcPr>
                  <w:tcW w:w="2271" w:type="dxa"/>
                  <w:tcBorders>
                    <w:bottom w:val="single" w:sz="4" w:space="0" w:color="auto"/>
                  </w:tcBorders>
                  <w:hideMark/>
                </w:tcPr>
                <w:p w:rsidR="009F3646" w:rsidRPr="002B5BBD" w:rsidRDefault="009F3646" w:rsidP="009F3646">
                  <w:pPr>
                    <w:rPr>
                      <w:spacing w:val="-3"/>
                    </w:rPr>
                  </w:pPr>
                  <w:r w:rsidRPr="002B5BBD">
                    <w:rPr>
                      <w:rFonts w:asciiTheme="minorHAnsi" w:eastAsiaTheme="minorHAnsi" w:hAnsiTheme="minorHAnsi" w:cstheme="minorBidi"/>
                      <w:spacing w:val="-3"/>
                      <w:sz w:val="22"/>
                      <w:szCs w:val="22"/>
                      <w:lang w:val="nl-NL"/>
                    </w:rPr>
                    <w:object w:dxaOrig="360" w:dyaOrig="384">
                      <v:shape id="_x0000_i1030" type="#_x0000_t75" style="width:18pt;height:19.8pt" o:ole="">
                        <v:imagedata r:id="rId25" o:title=""/>
                      </v:shape>
                      <o:OLEObject Type="Embed" ProgID="Equation.DSMT4" ShapeID="_x0000_i1030" DrawAspect="Content" ObjectID="_1564566729" r:id="rId26"/>
                    </w:object>
                  </w:r>
                </w:p>
              </w:tc>
              <w:tc>
                <w:tcPr>
                  <w:tcW w:w="2265" w:type="dxa"/>
                  <w:tcBorders>
                    <w:bottom w:val="single" w:sz="4" w:space="0" w:color="auto"/>
                  </w:tcBorders>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 0.0027 (.00119)</w:t>
                  </w:r>
                </w:p>
              </w:tc>
              <w:tc>
                <w:tcPr>
                  <w:tcW w:w="2265" w:type="dxa"/>
                  <w:tcBorders>
                    <w:bottom w:val="single" w:sz="4" w:space="0" w:color="auto"/>
                  </w:tcBorders>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 0.0014 (.00047)</w:t>
                  </w:r>
                </w:p>
              </w:tc>
              <w:tc>
                <w:tcPr>
                  <w:tcW w:w="2271" w:type="dxa"/>
                  <w:tcBorders>
                    <w:bottom w:val="single" w:sz="4" w:space="0" w:color="auto"/>
                  </w:tcBorders>
                  <w:vAlign w:val="center"/>
                </w:tcPr>
                <w:p w:rsidR="009F3646" w:rsidRPr="009F3646" w:rsidRDefault="009F3646">
                  <w:pPr>
                    <w:rPr>
                      <w:rFonts w:asciiTheme="minorHAnsi" w:hAnsiTheme="minorHAnsi"/>
                      <w:color w:val="000000"/>
                    </w:rPr>
                  </w:pPr>
                  <w:r w:rsidRPr="009F3646">
                    <w:rPr>
                      <w:rFonts w:asciiTheme="minorHAnsi" w:hAnsiTheme="minorHAnsi"/>
                      <w:color w:val="000000"/>
                    </w:rPr>
                    <w:t xml:space="preserve"> 0.0016 (.00048)</w:t>
                  </w:r>
                </w:p>
              </w:tc>
            </w:tr>
          </w:tbl>
          <w:p w:rsidR="009F3646" w:rsidRPr="008525D0" w:rsidRDefault="009F3646" w:rsidP="009F3646">
            <w:pPr>
              <w:rPr>
                <w:spacing w:val="-3"/>
              </w:rPr>
            </w:pPr>
          </w:p>
          <w:p w:rsidR="009F3646" w:rsidRDefault="009F3646" w:rsidP="009F3646">
            <w:pPr>
              <w:rPr>
                <w:spacing w:val="-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1"/>
              <w:gridCol w:w="2265"/>
              <w:gridCol w:w="2265"/>
              <w:gridCol w:w="2271"/>
            </w:tblGrid>
            <w:tr w:rsidR="009F3646" w:rsidRPr="00F73215" w:rsidTr="009F3646">
              <w:tc>
                <w:tcPr>
                  <w:tcW w:w="9072" w:type="dxa"/>
                  <w:gridSpan w:val="4"/>
                  <w:tcBorders>
                    <w:top w:val="nil"/>
                    <w:left w:val="nil"/>
                    <w:bottom w:val="single" w:sz="4" w:space="0" w:color="auto"/>
                    <w:right w:val="nil"/>
                  </w:tcBorders>
                  <w:hideMark/>
                </w:tcPr>
                <w:p w:rsidR="009F3646" w:rsidRPr="00DA366A" w:rsidRDefault="009F3646" w:rsidP="009F3646">
                  <w:pPr>
                    <w:rPr>
                      <w:rFonts w:asciiTheme="minorHAnsi" w:hAnsiTheme="minorHAnsi"/>
                      <w:spacing w:val="-3"/>
                    </w:rPr>
                  </w:pPr>
                  <w:r w:rsidRPr="00DA366A">
                    <w:rPr>
                      <w:rFonts w:asciiTheme="minorHAnsi" w:hAnsiTheme="minorHAnsi"/>
                      <w:spacing w:val="-3"/>
                      <w:sz w:val="22"/>
                    </w:rPr>
                    <w:t>Results multilevel regressions Refusal Logit, combined data. Estimates and (standard errors)</w:t>
                  </w:r>
                </w:p>
              </w:tc>
            </w:tr>
            <w:tr w:rsidR="009F3646" w:rsidRPr="002B5BBD" w:rsidTr="009F3646">
              <w:tc>
                <w:tcPr>
                  <w:tcW w:w="2271" w:type="dxa"/>
                  <w:tcBorders>
                    <w:top w:val="single" w:sz="4" w:space="0" w:color="auto"/>
                    <w:bottom w:val="single" w:sz="4" w:space="0" w:color="auto"/>
                    <w:right w:val="single" w:sz="4" w:space="0" w:color="auto"/>
                  </w:tcBorders>
                </w:tcPr>
                <w:p w:rsidR="009F3646" w:rsidRPr="002B5BBD" w:rsidRDefault="009F3646" w:rsidP="009F3646">
                  <w:pPr>
                    <w:rPr>
                      <w:spacing w:val="-3"/>
                    </w:rPr>
                  </w:pPr>
                </w:p>
              </w:tc>
              <w:tc>
                <w:tcPr>
                  <w:tcW w:w="2265" w:type="dxa"/>
                  <w:tcBorders>
                    <w:top w:val="single" w:sz="4" w:space="0" w:color="auto"/>
                    <w:left w:val="single" w:sz="4" w:space="0" w:color="auto"/>
                    <w:bottom w:val="single" w:sz="4" w:space="0" w:color="auto"/>
                    <w:right w:val="single" w:sz="4" w:space="0" w:color="auto"/>
                  </w:tcBorders>
                </w:tcPr>
                <w:p w:rsidR="009F3646" w:rsidRPr="002B5BBD" w:rsidRDefault="009F3646" w:rsidP="009F3646">
                  <w:pPr>
                    <w:rPr>
                      <w:spacing w:val="-3"/>
                    </w:rPr>
                  </w:pPr>
                  <w:r w:rsidRPr="002B5BBD">
                    <w:rPr>
                      <w:spacing w:val="-3"/>
                    </w:rPr>
                    <w:t>de Leeuw &amp; de Heer</w:t>
                  </w:r>
                </w:p>
              </w:tc>
              <w:tc>
                <w:tcPr>
                  <w:tcW w:w="2265" w:type="dxa"/>
                  <w:tcBorders>
                    <w:top w:val="single" w:sz="4" w:space="0" w:color="auto"/>
                    <w:left w:val="single" w:sz="4" w:space="0" w:color="auto"/>
                    <w:bottom w:val="single" w:sz="4" w:space="0" w:color="auto"/>
                    <w:right w:val="single" w:sz="4" w:space="0" w:color="auto"/>
                  </w:tcBorders>
                </w:tcPr>
                <w:p w:rsidR="009F3646" w:rsidRPr="002B5BBD" w:rsidRDefault="009F3646" w:rsidP="009F3646">
                  <w:pPr>
                    <w:rPr>
                      <w:spacing w:val="-3"/>
                    </w:rPr>
                  </w:pPr>
                  <w:r>
                    <w:rPr>
                      <w:spacing w:val="-3"/>
                    </w:rPr>
                    <w:t>Luiten</w:t>
                  </w:r>
                  <w:r w:rsidRPr="002B5BBD">
                    <w:rPr>
                      <w:spacing w:val="-3"/>
                    </w:rPr>
                    <w:t xml:space="preserve"> et al</w:t>
                  </w:r>
                </w:p>
              </w:tc>
              <w:tc>
                <w:tcPr>
                  <w:tcW w:w="2271" w:type="dxa"/>
                  <w:tcBorders>
                    <w:top w:val="single" w:sz="4" w:space="0" w:color="auto"/>
                    <w:left w:val="single" w:sz="4" w:space="0" w:color="auto"/>
                    <w:bottom w:val="single" w:sz="4" w:space="0" w:color="auto"/>
                    <w:right w:val="single" w:sz="4" w:space="0" w:color="auto"/>
                  </w:tcBorders>
                </w:tcPr>
                <w:p w:rsidR="009F3646" w:rsidRPr="002B5BBD" w:rsidRDefault="009F3646" w:rsidP="009F3646">
                  <w:pPr>
                    <w:rPr>
                      <w:spacing w:val="-3"/>
                    </w:rPr>
                  </w:pPr>
                  <w:r w:rsidRPr="002B5BBD">
                    <w:rPr>
                      <w:spacing w:val="-3"/>
                    </w:rPr>
                    <w:t>Combined</w:t>
                  </w:r>
                </w:p>
              </w:tc>
            </w:tr>
            <w:tr w:rsidR="009F3646" w:rsidRPr="002B5BBD" w:rsidTr="009F3646">
              <w:tc>
                <w:tcPr>
                  <w:tcW w:w="2271" w:type="dxa"/>
                  <w:tcBorders>
                    <w:top w:val="single" w:sz="4" w:space="0" w:color="auto"/>
                  </w:tcBorders>
                  <w:hideMark/>
                </w:tcPr>
                <w:p w:rsidR="009F3646" w:rsidRPr="009F3646" w:rsidRDefault="009F3646" w:rsidP="009F3646">
                  <w:pPr>
                    <w:rPr>
                      <w:rFonts w:asciiTheme="minorHAnsi" w:hAnsiTheme="minorHAnsi"/>
                      <w:spacing w:val="-3"/>
                    </w:rPr>
                  </w:pPr>
                  <w:r w:rsidRPr="009F3646">
                    <w:rPr>
                      <w:rFonts w:asciiTheme="minorHAnsi" w:hAnsiTheme="minorHAnsi"/>
                      <w:spacing w:val="-3"/>
                    </w:rPr>
                    <w:t>Intercept</w:t>
                  </w:r>
                </w:p>
              </w:tc>
              <w:tc>
                <w:tcPr>
                  <w:tcW w:w="2265" w:type="dxa"/>
                  <w:tcBorders>
                    <w:top w:val="single" w:sz="4" w:space="0" w:color="auto"/>
                  </w:tcBorders>
                  <w:vAlign w:val="center"/>
                </w:tcPr>
                <w:p w:rsidR="009F3646" w:rsidRDefault="009F3646">
                  <w:pPr>
                    <w:rPr>
                      <w:rFonts w:ascii="Calibri" w:hAnsi="Calibri"/>
                      <w:color w:val="000000"/>
                    </w:rPr>
                  </w:pPr>
                  <w:r>
                    <w:rPr>
                      <w:rFonts w:ascii="Calibri" w:hAnsi="Calibri"/>
                      <w:color w:val="000000"/>
                    </w:rPr>
                    <w:t xml:space="preserve">-2.550  </w:t>
                  </w:r>
                  <w:r>
                    <w:rPr>
                      <w:rFonts w:ascii="Calibri" w:hAnsi="Calibri"/>
                      <w:color w:val="FFFFFF"/>
                    </w:rPr>
                    <w:t>'</w:t>
                  </w:r>
                  <w:r>
                    <w:rPr>
                      <w:rFonts w:ascii="Calibri" w:hAnsi="Calibri"/>
                      <w:color w:val="000000"/>
                    </w:rPr>
                    <w:t>(.220)</w:t>
                  </w:r>
                </w:p>
              </w:tc>
              <w:tc>
                <w:tcPr>
                  <w:tcW w:w="2265" w:type="dxa"/>
                  <w:tcBorders>
                    <w:top w:val="single" w:sz="4" w:space="0" w:color="auto"/>
                  </w:tcBorders>
                  <w:vAlign w:val="center"/>
                </w:tcPr>
                <w:p w:rsidR="009F3646" w:rsidRDefault="009F3646">
                  <w:pPr>
                    <w:rPr>
                      <w:rFonts w:ascii="Calibri" w:hAnsi="Calibri"/>
                      <w:color w:val="000000"/>
                    </w:rPr>
                  </w:pPr>
                  <w:r>
                    <w:rPr>
                      <w:rFonts w:ascii="Calibri" w:hAnsi="Calibri"/>
                      <w:color w:val="000000"/>
                    </w:rPr>
                    <w:t>-2.734   (.230)</w:t>
                  </w:r>
                </w:p>
              </w:tc>
              <w:tc>
                <w:tcPr>
                  <w:tcW w:w="2271" w:type="dxa"/>
                  <w:tcBorders>
                    <w:top w:val="single" w:sz="4" w:space="0" w:color="auto"/>
                  </w:tcBorders>
                  <w:vAlign w:val="center"/>
                </w:tcPr>
                <w:p w:rsidR="009F3646" w:rsidRDefault="009F3646">
                  <w:pPr>
                    <w:rPr>
                      <w:rFonts w:ascii="Calibri" w:hAnsi="Calibri"/>
                      <w:color w:val="000000"/>
                    </w:rPr>
                  </w:pPr>
                  <w:r>
                    <w:rPr>
                      <w:rFonts w:ascii="Calibri" w:hAnsi="Calibri"/>
                      <w:color w:val="000000"/>
                    </w:rPr>
                    <w:t>-2.688   (.199)</w:t>
                  </w:r>
                </w:p>
              </w:tc>
            </w:tr>
            <w:tr w:rsidR="009F3646" w:rsidRPr="002B5BBD" w:rsidTr="009F3646">
              <w:tc>
                <w:tcPr>
                  <w:tcW w:w="2271" w:type="dxa"/>
                  <w:hideMark/>
                </w:tcPr>
                <w:p w:rsidR="009F3646" w:rsidRPr="009F3646" w:rsidRDefault="009F3646" w:rsidP="009F3646">
                  <w:pPr>
                    <w:rPr>
                      <w:rFonts w:asciiTheme="minorHAnsi" w:hAnsiTheme="minorHAnsi"/>
                      <w:spacing w:val="-3"/>
                    </w:rPr>
                  </w:pPr>
                  <w:r w:rsidRPr="009F3646">
                    <w:rPr>
                      <w:rFonts w:asciiTheme="minorHAnsi" w:hAnsiTheme="minorHAnsi"/>
                      <w:spacing w:val="-3"/>
                    </w:rPr>
                    <w:t>Year</w:t>
                  </w:r>
                  <w:r w:rsidRPr="009F3646">
                    <w:rPr>
                      <w:rFonts w:asciiTheme="minorHAnsi" w:hAnsiTheme="minorHAnsi"/>
                      <w:spacing w:val="-3"/>
                    </w:rPr>
                    <w:tab/>
                  </w:r>
                </w:p>
              </w:tc>
              <w:tc>
                <w:tcPr>
                  <w:tcW w:w="2265" w:type="dxa"/>
                  <w:vAlign w:val="center"/>
                </w:tcPr>
                <w:p w:rsidR="009F3646" w:rsidRDefault="009F3646">
                  <w:pPr>
                    <w:rPr>
                      <w:rFonts w:ascii="Calibri" w:hAnsi="Calibri"/>
                      <w:color w:val="000000"/>
                    </w:rPr>
                  </w:pPr>
                  <w:r>
                    <w:rPr>
                      <w:rFonts w:ascii="Calibri" w:hAnsi="Calibri"/>
                      <w:color w:val="FFFFFF"/>
                    </w:rPr>
                    <w:t>-</w:t>
                  </w:r>
                  <w:r>
                    <w:rPr>
                      <w:rFonts w:ascii="Calibri" w:hAnsi="Calibri"/>
                      <w:color w:val="000000"/>
                    </w:rPr>
                    <w:t>0.054   (.015)</w:t>
                  </w:r>
                </w:p>
              </w:tc>
              <w:tc>
                <w:tcPr>
                  <w:tcW w:w="2265" w:type="dxa"/>
                  <w:vAlign w:val="center"/>
                </w:tcPr>
                <w:p w:rsidR="009F3646" w:rsidRDefault="009F3646">
                  <w:pPr>
                    <w:rPr>
                      <w:rFonts w:ascii="Calibri" w:hAnsi="Calibri"/>
                      <w:color w:val="000000"/>
                    </w:rPr>
                  </w:pPr>
                  <w:r>
                    <w:rPr>
                      <w:rFonts w:ascii="Calibri" w:hAnsi="Calibri"/>
                      <w:color w:val="000000"/>
                    </w:rPr>
                    <w:t xml:space="preserve"> 0.034   (.010)</w:t>
                  </w:r>
                </w:p>
              </w:tc>
              <w:tc>
                <w:tcPr>
                  <w:tcW w:w="2271" w:type="dxa"/>
                  <w:vAlign w:val="center"/>
                </w:tcPr>
                <w:p w:rsidR="009F3646" w:rsidRDefault="009F3646">
                  <w:pPr>
                    <w:rPr>
                      <w:rFonts w:ascii="Calibri" w:hAnsi="Calibri"/>
                      <w:color w:val="000000"/>
                    </w:rPr>
                  </w:pPr>
                  <w:r>
                    <w:rPr>
                      <w:rFonts w:ascii="Calibri" w:hAnsi="Calibri"/>
                      <w:color w:val="000000"/>
                    </w:rPr>
                    <w:t xml:space="preserve"> 0.034   (.008)</w:t>
                  </w:r>
                </w:p>
              </w:tc>
            </w:tr>
            <w:tr w:rsidR="009F3646" w:rsidRPr="002B5BBD" w:rsidTr="009F3646">
              <w:tc>
                <w:tcPr>
                  <w:tcW w:w="2271" w:type="dxa"/>
                </w:tcPr>
                <w:p w:rsidR="009F3646" w:rsidRPr="009F3646" w:rsidRDefault="009F3646" w:rsidP="009F3646">
                  <w:pPr>
                    <w:rPr>
                      <w:rFonts w:asciiTheme="minorHAnsi" w:hAnsiTheme="minorHAnsi"/>
                      <w:spacing w:val="-3"/>
                    </w:rPr>
                  </w:pPr>
                  <w:r w:rsidRPr="009F3646">
                    <w:rPr>
                      <w:rFonts w:asciiTheme="minorHAnsi" w:hAnsiTheme="minorHAnsi"/>
                      <w:spacing w:val="-3"/>
                    </w:rPr>
                    <w:t>Mandatory</w:t>
                  </w:r>
                </w:p>
              </w:tc>
              <w:tc>
                <w:tcPr>
                  <w:tcW w:w="2265" w:type="dxa"/>
                  <w:vAlign w:val="center"/>
                </w:tcPr>
                <w:p w:rsidR="009F3646" w:rsidRDefault="009F3646">
                  <w:pPr>
                    <w:rPr>
                      <w:rFonts w:ascii="Calibri" w:hAnsi="Calibri"/>
                      <w:color w:val="000000"/>
                    </w:rPr>
                  </w:pPr>
                  <w:r>
                    <w:rPr>
                      <w:rFonts w:ascii="Calibri" w:hAnsi="Calibri"/>
                      <w:color w:val="000000"/>
                    </w:rPr>
                    <w:t xml:space="preserve">-1.172  </w:t>
                  </w:r>
                  <w:r>
                    <w:rPr>
                      <w:rFonts w:ascii="Calibri" w:hAnsi="Calibri"/>
                      <w:color w:val="FFFFFF"/>
                    </w:rPr>
                    <w:t>'</w:t>
                  </w:r>
                  <w:r>
                    <w:rPr>
                      <w:rFonts w:ascii="Calibri" w:hAnsi="Calibri"/>
                      <w:color w:val="000000"/>
                    </w:rPr>
                    <w:t>(.349)</w:t>
                  </w:r>
                </w:p>
              </w:tc>
              <w:tc>
                <w:tcPr>
                  <w:tcW w:w="2265" w:type="dxa"/>
                  <w:vAlign w:val="center"/>
                </w:tcPr>
                <w:p w:rsidR="009F3646" w:rsidRDefault="009F3646">
                  <w:pPr>
                    <w:rPr>
                      <w:rFonts w:ascii="Calibri" w:hAnsi="Calibri"/>
                      <w:color w:val="000000"/>
                    </w:rPr>
                  </w:pPr>
                  <w:r>
                    <w:rPr>
                      <w:rFonts w:ascii="Calibri" w:hAnsi="Calibri"/>
                      <w:color w:val="000000"/>
                    </w:rPr>
                    <w:t>-0.777   (.147)</w:t>
                  </w:r>
                </w:p>
              </w:tc>
              <w:tc>
                <w:tcPr>
                  <w:tcW w:w="2271" w:type="dxa"/>
                  <w:vAlign w:val="center"/>
                </w:tcPr>
                <w:p w:rsidR="009F3646" w:rsidRDefault="009F3646">
                  <w:pPr>
                    <w:rPr>
                      <w:rFonts w:ascii="Calibri" w:hAnsi="Calibri"/>
                      <w:color w:val="000000"/>
                    </w:rPr>
                  </w:pPr>
                  <w:r>
                    <w:rPr>
                      <w:rFonts w:ascii="Calibri" w:hAnsi="Calibri"/>
                      <w:color w:val="000000"/>
                    </w:rPr>
                    <w:t>-0.881   (.170)</w:t>
                  </w:r>
                </w:p>
              </w:tc>
            </w:tr>
            <w:tr w:rsidR="009F3646" w:rsidRPr="002B5BBD" w:rsidTr="009F3646">
              <w:tc>
                <w:tcPr>
                  <w:tcW w:w="2271" w:type="dxa"/>
                  <w:hideMark/>
                </w:tcPr>
                <w:p w:rsidR="009F3646" w:rsidRPr="002B5BBD" w:rsidRDefault="009F3646" w:rsidP="009F3646">
                  <w:pPr>
                    <w:rPr>
                      <w:spacing w:val="-3"/>
                    </w:rPr>
                  </w:pPr>
                  <w:r w:rsidRPr="002B5BBD">
                    <w:rPr>
                      <w:rFonts w:asciiTheme="minorHAnsi" w:eastAsiaTheme="minorHAnsi" w:hAnsiTheme="minorHAnsi" w:cstheme="minorBidi"/>
                      <w:spacing w:val="-3"/>
                      <w:sz w:val="22"/>
                      <w:szCs w:val="22"/>
                      <w:lang w:val="nl-NL"/>
                    </w:rPr>
                    <w:object w:dxaOrig="324" w:dyaOrig="384">
                      <v:shape id="_x0000_i1031" type="#_x0000_t75" style="width:16.8pt;height:19.8pt" o:ole="">
                        <v:imagedata r:id="rId21" o:title=""/>
                      </v:shape>
                      <o:OLEObject Type="Embed" ProgID="Equation.DSMT4" ShapeID="_x0000_i1031" DrawAspect="Content" ObjectID="_1564566730" r:id="rId27"/>
                    </w:object>
                  </w:r>
                  <w:r w:rsidRPr="002B5BBD">
                    <w:rPr>
                      <w:spacing w:val="-3"/>
                    </w:rPr>
                    <w:t xml:space="preserve"> </w:t>
                  </w:r>
                </w:p>
              </w:tc>
              <w:tc>
                <w:tcPr>
                  <w:tcW w:w="2265" w:type="dxa"/>
                  <w:vAlign w:val="center"/>
                </w:tcPr>
                <w:p w:rsidR="009F3646" w:rsidRDefault="009F3646">
                  <w:pPr>
                    <w:rPr>
                      <w:rFonts w:ascii="Calibri" w:hAnsi="Calibri"/>
                      <w:color w:val="000000"/>
                    </w:rPr>
                  </w:pPr>
                  <w:r>
                    <w:rPr>
                      <w:rFonts w:ascii="Calibri" w:hAnsi="Calibri"/>
                      <w:color w:val="000000"/>
                    </w:rPr>
                    <w:t xml:space="preserve"> 0.093   (.012)</w:t>
                  </w:r>
                </w:p>
              </w:tc>
              <w:tc>
                <w:tcPr>
                  <w:tcW w:w="2265" w:type="dxa"/>
                  <w:vAlign w:val="center"/>
                </w:tcPr>
                <w:p w:rsidR="009F3646" w:rsidRDefault="009F3646">
                  <w:pPr>
                    <w:rPr>
                      <w:rFonts w:ascii="Calibri" w:hAnsi="Calibri"/>
                      <w:color w:val="000000"/>
                    </w:rPr>
                  </w:pPr>
                  <w:r>
                    <w:rPr>
                      <w:rFonts w:ascii="Calibri" w:hAnsi="Calibri"/>
                      <w:color w:val="000000"/>
                    </w:rPr>
                    <w:t xml:space="preserve"> 0.041   (.004)</w:t>
                  </w:r>
                </w:p>
              </w:tc>
              <w:tc>
                <w:tcPr>
                  <w:tcW w:w="2271" w:type="dxa"/>
                  <w:vAlign w:val="center"/>
                </w:tcPr>
                <w:p w:rsidR="009F3646" w:rsidRDefault="009F3646">
                  <w:pPr>
                    <w:rPr>
                      <w:rFonts w:ascii="Calibri" w:hAnsi="Calibri"/>
                      <w:color w:val="000000"/>
                    </w:rPr>
                  </w:pPr>
                  <w:r>
                    <w:rPr>
                      <w:rFonts w:ascii="Calibri" w:hAnsi="Calibri"/>
                      <w:color w:val="000000"/>
                    </w:rPr>
                    <w:t xml:space="preserve"> 0.063   (.005)</w:t>
                  </w:r>
                </w:p>
              </w:tc>
            </w:tr>
            <w:tr w:rsidR="009F3646" w:rsidRPr="002B5BBD" w:rsidTr="009F3646">
              <w:tc>
                <w:tcPr>
                  <w:tcW w:w="2271" w:type="dxa"/>
                  <w:hideMark/>
                </w:tcPr>
                <w:p w:rsidR="009F3646" w:rsidRPr="002B5BBD" w:rsidRDefault="009F3646" w:rsidP="009F3646">
                  <w:pPr>
                    <w:rPr>
                      <w:spacing w:val="-3"/>
                    </w:rPr>
                  </w:pPr>
                  <w:r w:rsidRPr="002B5BBD">
                    <w:rPr>
                      <w:rFonts w:asciiTheme="minorHAnsi" w:eastAsiaTheme="minorHAnsi" w:hAnsiTheme="minorHAnsi" w:cstheme="minorBidi"/>
                      <w:spacing w:val="-3"/>
                      <w:sz w:val="22"/>
                      <w:szCs w:val="22"/>
                      <w:lang w:val="nl-NL"/>
                    </w:rPr>
                    <w:object w:dxaOrig="384" w:dyaOrig="384">
                      <v:shape id="_x0000_i1032" type="#_x0000_t75" style="width:19.8pt;height:19.8pt" o:ole="">
                        <v:imagedata r:id="rId23" o:title=""/>
                      </v:shape>
                      <o:OLEObject Type="Embed" ProgID="Equation.DSMT4" ShapeID="_x0000_i1032" DrawAspect="Content" ObjectID="_1564566731" r:id="rId28"/>
                    </w:object>
                  </w:r>
                </w:p>
              </w:tc>
              <w:tc>
                <w:tcPr>
                  <w:tcW w:w="2265" w:type="dxa"/>
                  <w:vAlign w:val="center"/>
                </w:tcPr>
                <w:p w:rsidR="009F3646" w:rsidRDefault="009F3646">
                  <w:pPr>
                    <w:rPr>
                      <w:rFonts w:ascii="Calibri" w:hAnsi="Calibri"/>
                      <w:color w:val="000000"/>
                    </w:rPr>
                  </w:pPr>
                  <w:r>
                    <w:rPr>
                      <w:rFonts w:ascii="Calibri" w:hAnsi="Calibri"/>
                      <w:color w:val="000000"/>
                    </w:rPr>
                    <w:t xml:space="preserve"> 0.404   (.290)</w:t>
                  </w:r>
                </w:p>
              </w:tc>
              <w:tc>
                <w:tcPr>
                  <w:tcW w:w="2265" w:type="dxa"/>
                  <w:vAlign w:val="center"/>
                </w:tcPr>
                <w:p w:rsidR="009F3646" w:rsidRDefault="009F3646">
                  <w:pPr>
                    <w:rPr>
                      <w:rFonts w:ascii="Calibri" w:hAnsi="Calibri"/>
                      <w:color w:val="000000"/>
                    </w:rPr>
                  </w:pPr>
                  <w:r>
                    <w:rPr>
                      <w:rFonts w:ascii="Calibri" w:hAnsi="Calibri"/>
                      <w:color w:val="000000"/>
                    </w:rPr>
                    <w:t xml:space="preserve"> 1.075   (.381)</w:t>
                  </w:r>
                </w:p>
              </w:tc>
              <w:tc>
                <w:tcPr>
                  <w:tcW w:w="2271" w:type="dxa"/>
                  <w:vAlign w:val="center"/>
                </w:tcPr>
                <w:p w:rsidR="009F3646" w:rsidRDefault="009F3646">
                  <w:pPr>
                    <w:rPr>
                      <w:rFonts w:ascii="Calibri" w:hAnsi="Calibri"/>
                      <w:color w:val="000000"/>
                    </w:rPr>
                  </w:pPr>
                  <w:r>
                    <w:rPr>
                      <w:rFonts w:ascii="Calibri" w:hAnsi="Calibri"/>
                      <w:color w:val="000000"/>
                    </w:rPr>
                    <w:t xml:space="preserve"> 0.862   (.284)</w:t>
                  </w:r>
                </w:p>
              </w:tc>
            </w:tr>
            <w:tr w:rsidR="009F3646" w:rsidRPr="002B5BBD" w:rsidTr="009F3646">
              <w:tc>
                <w:tcPr>
                  <w:tcW w:w="2271" w:type="dxa"/>
                  <w:tcBorders>
                    <w:bottom w:val="single" w:sz="4" w:space="0" w:color="auto"/>
                  </w:tcBorders>
                  <w:hideMark/>
                </w:tcPr>
                <w:p w:rsidR="009F3646" w:rsidRPr="002B5BBD" w:rsidRDefault="009F3646" w:rsidP="009F3646">
                  <w:pPr>
                    <w:rPr>
                      <w:spacing w:val="-3"/>
                    </w:rPr>
                  </w:pPr>
                  <w:r w:rsidRPr="002B5BBD">
                    <w:rPr>
                      <w:rFonts w:asciiTheme="minorHAnsi" w:eastAsiaTheme="minorHAnsi" w:hAnsiTheme="minorHAnsi" w:cstheme="minorBidi"/>
                      <w:spacing w:val="-3"/>
                      <w:sz w:val="22"/>
                      <w:szCs w:val="22"/>
                      <w:lang w:val="nl-NL"/>
                    </w:rPr>
                    <w:object w:dxaOrig="360" w:dyaOrig="384">
                      <v:shape id="_x0000_i1033" type="#_x0000_t75" style="width:18pt;height:19.8pt" o:ole="">
                        <v:imagedata r:id="rId25" o:title=""/>
                      </v:shape>
                      <o:OLEObject Type="Embed" ProgID="Equation.DSMT4" ShapeID="_x0000_i1033" DrawAspect="Content" ObjectID="_1564566732" r:id="rId29"/>
                    </w:object>
                  </w:r>
                </w:p>
              </w:tc>
              <w:tc>
                <w:tcPr>
                  <w:tcW w:w="2265" w:type="dxa"/>
                  <w:tcBorders>
                    <w:bottom w:val="single" w:sz="4" w:space="0" w:color="auto"/>
                  </w:tcBorders>
                  <w:vAlign w:val="center"/>
                </w:tcPr>
                <w:p w:rsidR="009F3646" w:rsidRDefault="009F3646">
                  <w:pPr>
                    <w:rPr>
                      <w:rFonts w:ascii="Calibri" w:hAnsi="Calibri"/>
                      <w:color w:val="000000"/>
                    </w:rPr>
                  </w:pPr>
                  <w:r>
                    <w:rPr>
                      <w:rFonts w:ascii="Calibri" w:hAnsi="Calibri"/>
                      <w:color w:val="000000"/>
                    </w:rPr>
                    <w:t xml:space="preserve"> 0.0020 (.00114)</w:t>
                  </w:r>
                </w:p>
              </w:tc>
              <w:tc>
                <w:tcPr>
                  <w:tcW w:w="2265" w:type="dxa"/>
                  <w:tcBorders>
                    <w:bottom w:val="single" w:sz="4" w:space="0" w:color="auto"/>
                  </w:tcBorders>
                  <w:vAlign w:val="center"/>
                </w:tcPr>
                <w:p w:rsidR="009F3646" w:rsidRDefault="009F3646">
                  <w:pPr>
                    <w:rPr>
                      <w:rFonts w:ascii="Calibri" w:hAnsi="Calibri"/>
                      <w:color w:val="000000"/>
                    </w:rPr>
                  </w:pPr>
                  <w:r>
                    <w:rPr>
                      <w:rFonts w:ascii="Calibri" w:hAnsi="Calibri"/>
                      <w:color w:val="000000"/>
                    </w:rPr>
                    <w:t xml:space="preserve"> 0.0018 (.00067)</w:t>
                  </w:r>
                </w:p>
              </w:tc>
              <w:tc>
                <w:tcPr>
                  <w:tcW w:w="2271" w:type="dxa"/>
                  <w:tcBorders>
                    <w:bottom w:val="single" w:sz="4" w:space="0" w:color="auto"/>
                  </w:tcBorders>
                  <w:vAlign w:val="center"/>
                </w:tcPr>
                <w:p w:rsidR="009F3646" w:rsidRDefault="009F3646">
                  <w:pPr>
                    <w:rPr>
                      <w:rFonts w:ascii="Calibri" w:hAnsi="Calibri"/>
                      <w:color w:val="000000"/>
                    </w:rPr>
                  </w:pPr>
                  <w:r>
                    <w:rPr>
                      <w:rFonts w:ascii="Calibri" w:hAnsi="Calibri"/>
                      <w:color w:val="000000"/>
                    </w:rPr>
                    <w:t xml:space="preserve"> 0.0014 (.00049)</w:t>
                  </w:r>
                </w:p>
              </w:tc>
            </w:tr>
          </w:tbl>
          <w:p w:rsidR="009F3646" w:rsidRPr="00F73215" w:rsidRDefault="009F3646" w:rsidP="009F3646">
            <w:pPr>
              <w:rPr>
                <w:spacing w:val="-3"/>
                <w:lang w:val="en-GB"/>
              </w:rPr>
            </w:pPr>
          </w:p>
          <w:p w:rsidR="009F3646" w:rsidRDefault="009F3646" w:rsidP="009F3646">
            <w:pPr>
              <w:rPr>
                <w:spacing w:val="-3"/>
              </w:rPr>
            </w:pPr>
          </w:p>
          <w:p w:rsidR="009F3646" w:rsidRDefault="009F3646" w:rsidP="009F3646">
            <w:pPr>
              <w:rPr>
                <w:spacing w:val="-3"/>
              </w:rPr>
            </w:pPr>
          </w:p>
          <w:p w:rsidR="00F73215" w:rsidRPr="00DA366A" w:rsidRDefault="00F73215" w:rsidP="009F3646">
            <w:pPr>
              <w:rPr>
                <w:rFonts w:asciiTheme="minorHAnsi" w:hAnsiTheme="minorHAnsi"/>
                <w:spacing w:val="-3"/>
              </w:rPr>
            </w:pPr>
            <w:r w:rsidRPr="00DA366A">
              <w:rPr>
                <w:rFonts w:asciiTheme="minorHAnsi" w:hAnsiTheme="minorHAnsi"/>
                <w:spacing w:val="-3"/>
                <w:sz w:val="22"/>
              </w:rPr>
              <w:t>Results multilevel regressions Noncontact Logit, combined data. Estimates and (standard errors)</w:t>
            </w:r>
          </w:p>
        </w:tc>
      </w:tr>
      <w:tr w:rsidR="00F73215" w:rsidRPr="002B5BBD" w:rsidTr="009F3646">
        <w:tc>
          <w:tcPr>
            <w:tcW w:w="2321" w:type="dxa"/>
            <w:tcBorders>
              <w:top w:val="single" w:sz="4" w:space="0" w:color="auto"/>
              <w:bottom w:val="single" w:sz="4" w:space="0" w:color="auto"/>
              <w:right w:val="single" w:sz="4" w:space="0" w:color="auto"/>
            </w:tcBorders>
          </w:tcPr>
          <w:p w:rsidR="00F73215" w:rsidRPr="002B5BBD" w:rsidRDefault="00F73215" w:rsidP="009F3646">
            <w:pPr>
              <w:rPr>
                <w:spacing w:val="-3"/>
              </w:rPr>
            </w:pPr>
          </w:p>
        </w:tc>
        <w:tc>
          <w:tcPr>
            <w:tcW w:w="2322" w:type="dxa"/>
            <w:tcBorders>
              <w:top w:val="single" w:sz="4" w:space="0" w:color="auto"/>
              <w:left w:val="single" w:sz="4" w:space="0" w:color="auto"/>
              <w:bottom w:val="single" w:sz="4" w:space="0" w:color="auto"/>
              <w:right w:val="single" w:sz="4" w:space="0" w:color="auto"/>
            </w:tcBorders>
          </w:tcPr>
          <w:p w:rsidR="00F73215" w:rsidRPr="002B5BBD" w:rsidRDefault="00F73215" w:rsidP="009F3646">
            <w:pPr>
              <w:rPr>
                <w:spacing w:val="-3"/>
              </w:rPr>
            </w:pPr>
            <w:r>
              <w:rPr>
                <w:spacing w:val="-3"/>
              </w:rPr>
              <w:t>de Leeuw &amp; de Heer</w:t>
            </w:r>
          </w:p>
        </w:tc>
        <w:tc>
          <w:tcPr>
            <w:tcW w:w="2322" w:type="dxa"/>
            <w:tcBorders>
              <w:top w:val="single" w:sz="4" w:space="0" w:color="auto"/>
              <w:left w:val="single" w:sz="4" w:space="0" w:color="auto"/>
              <w:bottom w:val="single" w:sz="4" w:space="0" w:color="auto"/>
              <w:right w:val="single" w:sz="4" w:space="0" w:color="auto"/>
            </w:tcBorders>
          </w:tcPr>
          <w:p w:rsidR="00F73215" w:rsidRPr="002B5BBD" w:rsidRDefault="00F73215" w:rsidP="009F3646">
            <w:pPr>
              <w:rPr>
                <w:spacing w:val="-3"/>
              </w:rPr>
            </w:pPr>
            <w:r>
              <w:rPr>
                <w:spacing w:val="-3"/>
              </w:rPr>
              <w:t>Luiten et al</w:t>
            </w:r>
          </w:p>
        </w:tc>
        <w:tc>
          <w:tcPr>
            <w:tcW w:w="2323" w:type="dxa"/>
            <w:tcBorders>
              <w:top w:val="single" w:sz="4" w:space="0" w:color="auto"/>
              <w:left w:val="single" w:sz="4" w:space="0" w:color="auto"/>
              <w:bottom w:val="single" w:sz="4" w:space="0" w:color="auto"/>
              <w:right w:val="single" w:sz="4" w:space="0" w:color="auto"/>
            </w:tcBorders>
          </w:tcPr>
          <w:p w:rsidR="00F73215" w:rsidRPr="002B5BBD" w:rsidRDefault="00F73215" w:rsidP="009F3646">
            <w:pPr>
              <w:rPr>
                <w:spacing w:val="-3"/>
              </w:rPr>
            </w:pPr>
            <w:r>
              <w:rPr>
                <w:spacing w:val="-3"/>
              </w:rPr>
              <w:t>Combined</w:t>
            </w:r>
          </w:p>
        </w:tc>
      </w:tr>
      <w:tr w:rsidR="009F3646" w:rsidRPr="002B5BBD" w:rsidTr="009F3646">
        <w:tc>
          <w:tcPr>
            <w:tcW w:w="2321" w:type="dxa"/>
            <w:tcBorders>
              <w:top w:val="single" w:sz="4" w:space="0" w:color="auto"/>
            </w:tcBorders>
            <w:hideMark/>
          </w:tcPr>
          <w:p w:rsidR="009F3646" w:rsidRPr="009F3646" w:rsidRDefault="009F3646" w:rsidP="009F3646">
            <w:pPr>
              <w:rPr>
                <w:rFonts w:asciiTheme="minorHAnsi" w:hAnsiTheme="minorHAnsi"/>
                <w:spacing w:val="-3"/>
              </w:rPr>
            </w:pPr>
            <w:r w:rsidRPr="009F3646">
              <w:rPr>
                <w:rFonts w:asciiTheme="minorHAnsi" w:hAnsiTheme="minorHAnsi"/>
                <w:spacing w:val="-3"/>
              </w:rPr>
              <w:t>Intercept</w:t>
            </w:r>
          </w:p>
        </w:tc>
        <w:tc>
          <w:tcPr>
            <w:tcW w:w="2322" w:type="dxa"/>
            <w:tcBorders>
              <w:top w:val="single" w:sz="4" w:space="0" w:color="auto"/>
            </w:tcBorders>
            <w:vAlign w:val="center"/>
          </w:tcPr>
          <w:p w:rsidR="009F3646" w:rsidRDefault="009F3646">
            <w:pPr>
              <w:rPr>
                <w:rFonts w:ascii="Calibri" w:hAnsi="Calibri"/>
                <w:color w:val="000000"/>
              </w:rPr>
            </w:pPr>
            <w:r>
              <w:rPr>
                <w:rFonts w:ascii="Calibri" w:hAnsi="Calibri"/>
                <w:color w:val="000000"/>
              </w:rPr>
              <w:t>-2.719 (.224)</w:t>
            </w:r>
          </w:p>
        </w:tc>
        <w:tc>
          <w:tcPr>
            <w:tcW w:w="2322" w:type="dxa"/>
            <w:tcBorders>
              <w:top w:val="single" w:sz="4" w:space="0" w:color="auto"/>
            </w:tcBorders>
            <w:vAlign w:val="center"/>
          </w:tcPr>
          <w:p w:rsidR="009F3646" w:rsidRDefault="009F3646">
            <w:pPr>
              <w:rPr>
                <w:rFonts w:ascii="Calibri" w:hAnsi="Calibri"/>
                <w:color w:val="000000"/>
              </w:rPr>
            </w:pPr>
            <w:r>
              <w:rPr>
                <w:rFonts w:ascii="Calibri" w:hAnsi="Calibri"/>
                <w:color w:val="000000"/>
              </w:rPr>
              <w:t xml:space="preserve">-2.592 </w:t>
            </w:r>
            <w:r>
              <w:rPr>
                <w:rFonts w:ascii="Calibri" w:hAnsi="Calibri"/>
                <w:color w:val="FFFFFF"/>
              </w:rPr>
              <w:t>'</w:t>
            </w:r>
            <w:r>
              <w:rPr>
                <w:rFonts w:ascii="Calibri" w:hAnsi="Calibri"/>
                <w:color w:val="000000"/>
              </w:rPr>
              <w:t xml:space="preserve"> (.148)</w:t>
            </w:r>
          </w:p>
        </w:tc>
        <w:tc>
          <w:tcPr>
            <w:tcW w:w="2323" w:type="dxa"/>
            <w:tcBorders>
              <w:top w:val="single" w:sz="4" w:space="0" w:color="auto"/>
            </w:tcBorders>
            <w:vAlign w:val="center"/>
          </w:tcPr>
          <w:p w:rsidR="009F3646" w:rsidRDefault="009F3646">
            <w:pPr>
              <w:rPr>
                <w:rFonts w:ascii="Calibri" w:hAnsi="Calibri"/>
                <w:color w:val="000000"/>
              </w:rPr>
            </w:pPr>
            <w:r>
              <w:rPr>
                <w:rFonts w:ascii="Calibri" w:hAnsi="Calibri"/>
                <w:color w:val="000000"/>
              </w:rPr>
              <w:t xml:space="preserve">-2.600 </w:t>
            </w:r>
            <w:r>
              <w:rPr>
                <w:rFonts w:ascii="Calibri" w:hAnsi="Calibri"/>
                <w:color w:val="FFFFFF"/>
              </w:rPr>
              <w:t>'</w:t>
            </w:r>
            <w:r>
              <w:rPr>
                <w:rFonts w:ascii="Calibri" w:hAnsi="Calibri"/>
                <w:color w:val="000000"/>
              </w:rPr>
              <w:t xml:space="preserve"> (.142)</w:t>
            </w:r>
          </w:p>
        </w:tc>
      </w:tr>
      <w:tr w:rsidR="009F3646" w:rsidRPr="002B5BBD" w:rsidTr="009F3646">
        <w:tc>
          <w:tcPr>
            <w:tcW w:w="2321" w:type="dxa"/>
            <w:hideMark/>
          </w:tcPr>
          <w:p w:rsidR="009F3646" w:rsidRPr="009F3646" w:rsidRDefault="009F3646" w:rsidP="009F3646">
            <w:pPr>
              <w:rPr>
                <w:rFonts w:asciiTheme="minorHAnsi" w:hAnsiTheme="minorHAnsi"/>
                <w:spacing w:val="-3"/>
              </w:rPr>
            </w:pPr>
            <w:r w:rsidRPr="009F3646">
              <w:rPr>
                <w:rFonts w:asciiTheme="minorHAnsi" w:hAnsiTheme="minorHAnsi"/>
                <w:spacing w:val="-3"/>
              </w:rPr>
              <w:t>Year</w:t>
            </w:r>
            <w:r w:rsidRPr="009F3646">
              <w:rPr>
                <w:rFonts w:asciiTheme="minorHAnsi" w:hAnsiTheme="minorHAnsi"/>
                <w:spacing w:val="-3"/>
              </w:rPr>
              <w:tab/>
            </w:r>
          </w:p>
        </w:tc>
        <w:tc>
          <w:tcPr>
            <w:tcW w:w="2322" w:type="dxa"/>
            <w:vAlign w:val="center"/>
          </w:tcPr>
          <w:p w:rsidR="009F3646" w:rsidRDefault="009F3646">
            <w:pPr>
              <w:rPr>
                <w:rFonts w:ascii="Calibri" w:hAnsi="Calibri"/>
                <w:color w:val="000000"/>
              </w:rPr>
            </w:pPr>
            <w:r>
              <w:rPr>
                <w:rFonts w:ascii="Calibri" w:hAnsi="Calibri"/>
                <w:color w:val="000000"/>
              </w:rPr>
              <w:t xml:space="preserve"> 0.032 (.014)</w:t>
            </w:r>
          </w:p>
        </w:tc>
        <w:tc>
          <w:tcPr>
            <w:tcW w:w="2322" w:type="dxa"/>
            <w:vAlign w:val="center"/>
          </w:tcPr>
          <w:p w:rsidR="009F3646" w:rsidRDefault="009F3646">
            <w:pPr>
              <w:rPr>
                <w:rFonts w:ascii="Calibri" w:hAnsi="Calibri"/>
                <w:color w:val="000000"/>
              </w:rPr>
            </w:pPr>
            <w:r>
              <w:rPr>
                <w:rFonts w:ascii="Calibri" w:hAnsi="Calibri"/>
                <w:color w:val="000000"/>
              </w:rPr>
              <w:t xml:space="preserve"> 0.031   (.008)</w:t>
            </w:r>
          </w:p>
        </w:tc>
        <w:tc>
          <w:tcPr>
            <w:tcW w:w="2323" w:type="dxa"/>
            <w:vAlign w:val="center"/>
          </w:tcPr>
          <w:p w:rsidR="009F3646" w:rsidRDefault="009F3646">
            <w:pPr>
              <w:rPr>
                <w:rFonts w:ascii="Calibri" w:hAnsi="Calibri"/>
                <w:color w:val="000000"/>
              </w:rPr>
            </w:pPr>
            <w:r>
              <w:rPr>
                <w:rFonts w:ascii="Calibri" w:hAnsi="Calibri"/>
                <w:color w:val="000000"/>
              </w:rPr>
              <w:t xml:space="preserve"> 0.034   (.007)</w:t>
            </w:r>
          </w:p>
        </w:tc>
      </w:tr>
      <w:tr w:rsidR="009F3646" w:rsidRPr="002B5BBD" w:rsidTr="009F3646">
        <w:tc>
          <w:tcPr>
            <w:tcW w:w="2321" w:type="dxa"/>
          </w:tcPr>
          <w:p w:rsidR="009F3646" w:rsidRPr="009F3646" w:rsidRDefault="009F3646" w:rsidP="009F3646">
            <w:pPr>
              <w:rPr>
                <w:rFonts w:asciiTheme="minorHAnsi" w:hAnsiTheme="minorHAnsi"/>
                <w:spacing w:val="-3"/>
              </w:rPr>
            </w:pPr>
            <w:r w:rsidRPr="009F3646">
              <w:rPr>
                <w:rFonts w:asciiTheme="minorHAnsi" w:hAnsiTheme="minorHAnsi"/>
                <w:spacing w:val="-3"/>
              </w:rPr>
              <w:t>Mandatory</w:t>
            </w:r>
          </w:p>
        </w:tc>
        <w:tc>
          <w:tcPr>
            <w:tcW w:w="2322" w:type="dxa"/>
            <w:vAlign w:val="center"/>
          </w:tcPr>
          <w:p w:rsidR="009F3646" w:rsidRDefault="009F3646">
            <w:pPr>
              <w:rPr>
                <w:rFonts w:ascii="Calibri" w:hAnsi="Calibri"/>
                <w:color w:val="000000"/>
              </w:rPr>
            </w:pPr>
            <w:r>
              <w:rPr>
                <w:rFonts w:ascii="Calibri" w:hAnsi="Calibri"/>
                <w:color w:val="000000"/>
              </w:rPr>
              <w:t xml:space="preserve"> 0.002 (.298) (ns)</w:t>
            </w:r>
          </w:p>
        </w:tc>
        <w:tc>
          <w:tcPr>
            <w:tcW w:w="2322" w:type="dxa"/>
            <w:vAlign w:val="center"/>
          </w:tcPr>
          <w:p w:rsidR="009F3646" w:rsidRDefault="009F3646">
            <w:pPr>
              <w:rPr>
                <w:rFonts w:ascii="Calibri" w:hAnsi="Calibri"/>
                <w:color w:val="000000"/>
              </w:rPr>
            </w:pPr>
            <w:r>
              <w:rPr>
                <w:rFonts w:ascii="Calibri" w:hAnsi="Calibri"/>
                <w:color w:val="000000"/>
              </w:rPr>
              <w:t xml:space="preserve">-0.091  </w:t>
            </w:r>
            <w:r>
              <w:rPr>
                <w:rFonts w:ascii="Calibri" w:hAnsi="Calibri"/>
                <w:color w:val="FFFFFF"/>
              </w:rPr>
              <w:t>'</w:t>
            </w:r>
            <w:r>
              <w:rPr>
                <w:rFonts w:ascii="Calibri" w:hAnsi="Calibri"/>
                <w:color w:val="000000"/>
              </w:rPr>
              <w:t>(.140) (ns)</w:t>
            </w:r>
          </w:p>
        </w:tc>
        <w:tc>
          <w:tcPr>
            <w:tcW w:w="2323" w:type="dxa"/>
            <w:vAlign w:val="center"/>
          </w:tcPr>
          <w:p w:rsidR="009F3646" w:rsidRDefault="009F3646">
            <w:pPr>
              <w:rPr>
                <w:rFonts w:ascii="Calibri" w:hAnsi="Calibri"/>
                <w:color w:val="000000"/>
              </w:rPr>
            </w:pPr>
            <w:r>
              <w:rPr>
                <w:rFonts w:ascii="Calibri" w:hAnsi="Calibri"/>
                <w:color w:val="000000"/>
              </w:rPr>
              <w:t xml:space="preserve">-0.140  </w:t>
            </w:r>
            <w:r>
              <w:rPr>
                <w:rFonts w:ascii="Calibri" w:hAnsi="Calibri"/>
                <w:color w:val="FFFFFF"/>
              </w:rPr>
              <w:t>'</w:t>
            </w:r>
            <w:r>
              <w:rPr>
                <w:rFonts w:ascii="Calibri" w:hAnsi="Calibri"/>
                <w:color w:val="000000"/>
              </w:rPr>
              <w:t>(.150) (ns)</w:t>
            </w:r>
          </w:p>
        </w:tc>
      </w:tr>
      <w:tr w:rsidR="009F3646" w:rsidRPr="002B5BBD" w:rsidTr="009F3646">
        <w:tc>
          <w:tcPr>
            <w:tcW w:w="2321" w:type="dxa"/>
            <w:hideMark/>
          </w:tcPr>
          <w:p w:rsidR="009F3646" w:rsidRPr="002B5BBD" w:rsidRDefault="009F3646" w:rsidP="009F3646">
            <w:pPr>
              <w:rPr>
                <w:spacing w:val="-3"/>
              </w:rPr>
            </w:pPr>
            <w:r w:rsidRPr="002B5BBD">
              <w:rPr>
                <w:rFonts w:asciiTheme="minorHAnsi" w:eastAsiaTheme="minorHAnsi" w:hAnsiTheme="minorHAnsi" w:cstheme="minorBidi"/>
                <w:spacing w:val="-3"/>
                <w:sz w:val="22"/>
                <w:szCs w:val="22"/>
                <w:lang w:val="nl-NL"/>
              </w:rPr>
              <w:object w:dxaOrig="324" w:dyaOrig="384">
                <v:shape id="_x0000_i1034" type="#_x0000_t75" style="width:16.8pt;height:19.8pt" o:ole="">
                  <v:imagedata r:id="rId21" o:title=""/>
                </v:shape>
                <o:OLEObject Type="Embed" ProgID="Equation.DSMT4" ShapeID="_x0000_i1034" DrawAspect="Content" ObjectID="_1564566733" r:id="rId30"/>
              </w:object>
            </w:r>
            <w:r w:rsidRPr="002B5BBD">
              <w:rPr>
                <w:spacing w:val="-3"/>
              </w:rPr>
              <w:t xml:space="preserve"> </w:t>
            </w:r>
          </w:p>
        </w:tc>
        <w:tc>
          <w:tcPr>
            <w:tcW w:w="2322" w:type="dxa"/>
            <w:vAlign w:val="center"/>
          </w:tcPr>
          <w:p w:rsidR="009F3646" w:rsidRDefault="009F3646">
            <w:pPr>
              <w:rPr>
                <w:rFonts w:ascii="Calibri" w:hAnsi="Calibri"/>
                <w:color w:val="000000"/>
              </w:rPr>
            </w:pPr>
            <w:r>
              <w:rPr>
                <w:rFonts w:ascii="Calibri" w:hAnsi="Calibri"/>
                <w:color w:val="000000"/>
              </w:rPr>
              <w:t xml:space="preserve"> 0.042 (.006)</w:t>
            </w:r>
          </w:p>
        </w:tc>
        <w:tc>
          <w:tcPr>
            <w:tcW w:w="2322" w:type="dxa"/>
            <w:vAlign w:val="center"/>
          </w:tcPr>
          <w:p w:rsidR="009F3646" w:rsidRDefault="009F3646">
            <w:pPr>
              <w:rPr>
                <w:rFonts w:ascii="Calibri" w:hAnsi="Calibri"/>
                <w:color w:val="000000"/>
              </w:rPr>
            </w:pPr>
            <w:r>
              <w:rPr>
                <w:rFonts w:ascii="Calibri" w:hAnsi="Calibri"/>
                <w:color w:val="000000"/>
              </w:rPr>
              <w:t xml:space="preserve"> 0.041   (.004)</w:t>
            </w:r>
          </w:p>
        </w:tc>
        <w:tc>
          <w:tcPr>
            <w:tcW w:w="2323" w:type="dxa"/>
            <w:vAlign w:val="center"/>
          </w:tcPr>
          <w:p w:rsidR="009F3646" w:rsidRDefault="009F3646">
            <w:pPr>
              <w:rPr>
                <w:rFonts w:ascii="Calibri" w:hAnsi="Calibri"/>
                <w:color w:val="000000"/>
              </w:rPr>
            </w:pPr>
            <w:r>
              <w:rPr>
                <w:rFonts w:ascii="Calibri" w:hAnsi="Calibri"/>
                <w:color w:val="000000"/>
              </w:rPr>
              <w:t xml:space="preserve"> 0.054   (.004)</w:t>
            </w:r>
          </w:p>
        </w:tc>
      </w:tr>
      <w:tr w:rsidR="009F3646" w:rsidRPr="002B5BBD" w:rsidTr="009F3646">
        <w:tc>
          <w:tcPr>
            <w:tcW w:w="2321" w:type="dxa"/>
            <w:hideMark/>
          </w:tcPr>
          <w:p w:rsidR="009F3646" w:rsidRPr="002B5BBD" w:rsidRDefault="009F3646" w:rsidP="009F3646">
            <w:pPr>
              <w:rPr>
                <w:spacing w:val="-3"/>
              </w:rPr>
            </w:pPr>
            <w:r w:rsidRPr="002B5BBD">
              <w:rPr>
                <w:rFonts w:asciiTheme="minorHAnsi" w:eastAsiaTheme="minorHAnsi" w:hAnsiTheme="minorHAnsi" w:cstheme="minorBidi"/>
                <w:spacing w:val="-3"/>
                <w:sz w:val="22"/>
                <w:szCs w:val="22"/>
                <w:lang w:val="nl-NL"/>
              </w:rPr>
              <w:object w:dxaOrig="384" w:dyaOrig="384">
                <v:shape id="_x0000_i1035" type="#_x0000_t75" style="width:19.8pt;height:19.8pt" o:ole="">
                  <v:imagedata r:id="rId23" o:title=""/>
                </v:shape>
                <o:OLEObject Type="Embed" ProgID="Equation.DSMT4" ShapeID="_x0000_i1035" DrawAspect="Content" ObjectID="_1564566734" r:id="rId31"/>
              </w:object>
            </w:r>
          </w:p>
        </w:tc>
        <w:tc>
          <w:tcPr>
            <w:tcW w:w="2322" w:type="dxa"/>
            <w:vAlign w:val="center"/>
          </w:tcPr>
          <w:p w:rsidR="009F3646" w:rsidRDefault="009F3646">
            <w:pPr>
              <w:rPr>
                <w:rFonts w:ascii="Calibri" w:hAnsi="Calibri"/>
                <w:color w:val="000000"/>
              </w:rPr>
            </w:pPr>
            <w:r>
              <w:rPr>
                <w:rFonts w:ascii="Calibri" w:hAnsi="Calibri"/>
                <w:color w:val="000000"/>
              </w:rPr>
              <w:t xml:space="preserve"> 0.521 (.209)</w:t>
            </w:r>
          </w:p>
        </w:tc>
        <w:tc>
          <w:tcPr>
            <w:tcW w:w="2322" w:type="dxa"/>
            <w:vAlign w:val="center"/>
          </w:tcPr>
          <w:p w:rsidR="009F3646" w:rsidRDefault="009F3646">
            <w:pPr>
              <w:rPr>
                <w:rFonts w:ascii="Calibri" w:hAnsi="Calibri"/>
                <w:color w:val="000000"/>
              </w:rPr>
            </w:pPr>
            <w:r>
              <w:rPr>
                <w:rFonts w:ascii="Calibri" w:hAnsi="Calibri"/>
                <w:color w:val="000000"/>
              </w:rPr>
              <w:t xml:space="preserve"> 0.397   (.132)</w:t>
            </w:r>
          </w:p>
        </w:tc>
        <w:tc>
          <w:tcPr>
            <w:tcW w:w="2323" w:type="dxa"/>
            <w:vAlign w:val="center"/>
          </w:tcPr>
          <w:p w:rsidR="009F3646" w:rsidRDefault="009F3646">
            <w:pPr>
              <w:rPr>
                <w:rFonts w:ascii="Calibri" w:hAnsi="Calibri"/>
                <w:color w:val="000000"/>
              </w:rPr>
            </w:pPr>
            <w:r>
              <w:rPr>
                <w:rFonts w:ascii="Calibri" w:hAnsi="Calibri"/>
                <w:color w:val="000000"/>
              </w:rPr>
              <w:t xml:space="preserve"> 0.404   (.122)</w:t>
            </w:r>
          </w:p>
        </w:tc>
      </w:tr>
      <w:tr w:rsidR="009F3646" w:rsidRPr="002B5BBD" w:rsidTr="009F3646">
        <w:tc>
          <w:tcPr>
            <w:tcW w:w="2321" w:type="dxa"/>
            <w:tcBorders>
              <w:bottom w:val="single" w:sz="4" w:space="0" w:color="auto"/>
            </w:tcBorders>
            <w:hideMark/>
          </w:tcPr>
          <w:p w:rsidR="009F3646" w:rsidRPr="002B5BBD" w:rsidRDefault="009F3646" w:rsidP="009F3646">
            <w:pPr>
              <w:rPr>
                <w:spacing w:val="-3"/>
              </w:rPr>
            </w:pPr>
            <w:r w:rsidRPr="002B5BBD">
              <w:rPr>
                <w:rFonts w:asciiTheme="minorHAnsi" w:eastAsiaTheme="minorHAnsi" w:hAnsiTheme="minorHAnsi" w:cstheme="minorBidi"/>
                <w:spacing w:val="-3"/>
                <w:sz w:val="22"/>
                <w:szCs w:val="22"/>
                <w:lang w:val="nl-NL"/>
              </w:rPr>
              <w:object w:dxaOrig="360" w:dyaOrig="384">
                <v:shape id="_x0000_i1036" type="#_x0000_t75" style="width:18pt;height:19.8pt" o:ole="">
                  <v:imagedata r:id="rId25" o:title=""/>
                </v:shape>
                <o:OLEObject Type="Embed" ProgID="Equation.DSMT4" ShapeID="_x0000_i1036" DrawAspect="Content" ObjectID="_1564566735" r:id="rId32"/>
              </w:object>
            </w:r>
          </w:p>
        </w:tc>
        <w:tc>
          <w:tcPr>
            <w:tcW w:w="2322" w:type="dxa"/>
            <w:tcBorders>
              <w:bottom w:val="single" w:sz="4" w:space="0" w:color="auto"/>
            </w:tcBorders>
            <w:vAlign w:val="center"/>
          </w:tcPr>
          <w:p w:rsidR="009F3646" w:rsidRDefault="009F3646">
            <w:pPr>
              <w:rPr>
                <w:rFonts w:ascii="Calibri" w:hAnsi="Calibri"/>
                <w:color w:val="000000"/>
              </w:rPr>
            </w:pPr>
            <w:r>
              <w:rPr>
                <w:rFonts w:ascii="Calibri" w:hAnsi="Calibri"/>
                <w:color w:val="000000"/>
              </w:rPr>
              <w:t xml:space="preserve"> 0.0020 (.0012)</w:t>
            </w:r>
          </w:p>
        </w:tc>
        <w:tc>
          <w:tcPr>
            <w:tcW w:w="2322" w:type="dxa"/>
            <w:tcBorders>
              <w:bottom w:val="single" w:sz="4" w:space="0" w:color="auto"/>
            </w:tcBorders>
            <w:vAlign w:val="center"/>
          </w:tcPr>
          <w:p w:rsidR="009F3646" w:rsidRDefault="009F3646">
            <w:pPr>
              <w:rPr>
                <w:rFonts w:ascii="Calibri" w:hAnsi="Calibri"/>
                <w:color w:val="000000"/>
              </w:rPr>
            </w:pPr>
            <w:r>
              <w:rPr>
                <w:rFonts w:ascii="Calibri" w:hAnsi="Calibri"/>
                <w:color w:val="000000"/>
              </w:rPr>
              <w:t xml:space="preserve"> 0.0012 (.00042)</w:t>
            </w:r>
          </w:p>
        </w:tc>
        <w:tc>
          <w:tcPr>
            <w:tcW w:w="2323" w:type="dxa"/>
            <w:tcBorders>
              <w:bottom w:val="single" w:sz="4" w:space="0" w:color="auto"/>
            </w:tcBorders>
            <w:vAlign w:val="center"/>
          </w:tcPr>
          <w:p w:rsidR="009F3646" w:rsidRDefault="009F3646">
            <w:pPr>
              <w:rPr>
                <w:rFonts w:ascii="Calibri" w:hAnsi="Calibri"/>
                <w:color w:val="000000"/>
              </w:rPr>
            </w:pPr>
            <w:r>
              <w:rPr>
                <w:rFonts w:ascii="Calibri" w:hAnsi="Calibri"/>
                <w:color w:val="000000"/>
              </w:rPr>
              <w:t xml:space="preserve"> 0.0011 (.00035)</w:t>
            </w:r>
          </w:p>
        </w:tc>
      </w:tr>
    </w:tbl>
    <w:p w:rsidR="00F73215" w:rsidRPr="00F73215" w:rsidRDefault="00F73215" w:rsidP="00F73215">
      <w:pPr>
        <w:rPr>
          <w:spacing w:val="-3"/>
          <w:lang w:val="en-GB"/>
        </w:rPr>
      </w:pPr>
    </w:p>
    <w:p w:rsidR="00C73B4B" w:rsidRDefault="00C73B4B" w:rsidP="00C73B4B">
      <w:pPr>
        <w:rPr>
          <w:spacing w:val="-3"/>
        </w:rPr>
      </w:pPr>
    </w:p>
    <w:p w:rsidR="00C73B4B" w:rsidRDefault="0010301B" w:rsidP="00260D54">
      <w:pPr>
        <w:rPr>
          <w:szCs w:val="20"/>
          <w:lang w:val="de-DE"/>
        </w:rPr>
      </w:pPr>
      <w:r>
        <w:rPr>
          <w:noProof/>
          <w:spacing w:val="-3"/>
          <w:sz w:val="24"/>
          <w:lang w:val="en-US"/>
        </w:rPr>
        <w:lastRenderedPageBreak/>
        <w:drawing>
          <wp:inline distT="0" distB="0" distL="0" distR="0" wp14:anchorId="75482DEC" wp14:editId="6D169C43">
            <wp:extent cx="5760720" cy="451993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720" cy="4519930"/>
                    </a:xfrm>
                    <a:prstGeom prst="rect">
                      <a:avLst/>
                    </a:prstGeom>
                    <a:noFill/>
                    <a:ln>
                      <a:noFill/>
                    </a:ln>
                  </pic:spPr>
                </pic:pic>
              </a:graphicData>
            </a:graphic>
          </wp:inline>
        </w:drawing>
      </w:r>
    </w:p>
    <w:p w:rsidR="0010301B" w:rsidRPr="0010301B" w:rsidRDefault="0010301B" w:rsidP="00260D54">
      <w:pPr>
        <w:rPr>
          <w:b/>
          <w:i/>
          <w:szCs w:val="20"/>
          <w:lang w:val="en-GB"/>
        </w:rPr>
      </w:pPr>
      <w:r>
        <w:rPr>
          <w:b/>
          <w:i/>
          <w:szCs w:val="20"/>
          <w:lang w:val="de-DE"/>
        </w:rPr>
        <w:t xml:space="preserve">   </w:t>
      </w:r>
      <w:proofErr w:type="gramStart"/>
      <w:r w:rsidRPr="0010301B">
        <w:rPr>
          <w:b/>
          <w:i/>
          <w:szCs w:val="20"/>
          <w:lang w:val="en-GB"/>
        </w:rPr>
        <w:t>Figure 4.</w:t>
      </w:r>
      <w:proofErr w:type="gramEnd"/>
      <w:r w:rsidRPr="0010301B">
        <w:rPr>
          <w:b/>
          <w:i/>
          <w:szCs w:val="20"/>
          <w:lang w:val="en-GB"/>
        </w:rPr>
        <w:t xml:space="preserve"> Response trends in other social surveys</w:t>
      </w:r>
    </w:p>
    <w:sectPr w:rsidR="0010301B" w:rsidRPr="0010301B" w:rsidSect="00F73215">
      <w:footerReference w:type="default" r:id="rId3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BF3" w:rsidRDefault="00C27BF3" w:rsidP="00726AFF">
      <w:pPr>
        <w:spacing w:after="0" w:line="240" w:lineRule="auto"/>
      </w:pPr>
      <w:r>
        <w:separator/>
      </w:r>
    </w:p>
  </w:endnote>
  <w:endnote w:type="continuationSeparator" w:id="0">
    <w:p w:rsidR="00C27BF3" w:rsidRDefault="00C27BF3" w:rsidP="0072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707594"/>
      <w:docPartObj>
        <w:docPartGallery w:val="Page Numbers (Bottom of Page)"/>
        <w:docPartUnique/>
      </w:docPartObj>
    </w:sdtPr>
    <w:sdtEndPr/>
    <w:sdtContent>
      <w:p w:rsidR="009F3F8A" w:rsidRDefault="009F3F8A">
        <w:pPr>
          <w:pStyle w:val="Footer"/>
        </w:pPr>
        <w:r>
          <w:rPr>
            <w:noProof/>
            <w:lang w:val="en-US"/>
          </w:rPr>
          <mc:AlternateContent>
            <mc:Choice Requires="wps">
              <w:drawing>
                <wp:anchor distT="0" distB="0" distL="114300" distR="114300" simplePos="0" relativeHeight="251659264" behindDoc="0" locked="0" layoutInCell="1" allowOverlap="1" wp14:anchorId="6085C925" wp14:editId="078270A7">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9F3F8A" w:rsidRDefault="009F3F8A">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89681E" w:rsidRPr="0089681E">
                                <w:rPr>
                                  <w:noProof/>
                                  <w:color w:val="C0504D" w:themeColor="accent2"/>
                                </w:rPr>
                                <w:t>9</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649"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x2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sFCs&#10;dr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9F3F8A" w:rsidRDefault="009F3F8A">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89681E" w:rsidRPr="0089681E">
                          <w:rPr>
                            <w:noProof/>
                            <w:color w:val="C0504D" w:themeColor="accent2"/>
                          </w:rPr>
                          <w:t>9</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BF3" w:rsidRDefault="00C27BF3" w:rsidP="00726AFF">
      <w:pPr>
        <w:spacing w:after="0" w:line="240" w:lineRule="auto"/>
      </w:pPr>
      <w:r>
        <w:separator/>
      </w:r>
    </w:p>
  </w:footnote>
  <w:footnote w:type="continuationSeparator" w:id="0">
    <w:p w:rsidR="00C27BF3" w:rsidRDefault="00C27BF3" w:rsidP="00726AFF">
      <w:pPr>
        <w:spacing w:after="0" w:line="240" w:lineRule="auto"/>
      </w:pPr>
      <w:r>
        <w:continuationSeparator/>
      </w:r>
    </w:p>
  </w:footnote>
  <w:footnote w:id="1">
    <w:p w:rsidR="009F3F8A" w:rsidRDefault="009F3F8A">
      <w:pPr>
        <w:pStyle w:val="FootnoteText"/>
      </w:pPr>
      <w:r>
        <w:rPr>
          <w:rStyle w:val="FootnoteReference"/>
        </w:rPr>
        <w:footnoteRef/>
      </w:r>
      <w:r>
        <w:t xml:space="preserve"> </w:t>
      </w:r>
      <w:proofErr w:type="spellStart"/>
      <w:r>
        <w:t>Statistics</w:t>
      </w:r>
      <w:proofErr w:type="spellEnd"/>
      <w:r>
        <w:t xml:space="preserve"> Netherlands</w:t>
      </w:r>
    </w:p>
  </w:footnote>
  <w:footnote w:id="2">
    <w:p w:rsidR="009F3F8A" w:rsidRDefault="009F3F8A">
      <w:pPr>
        <w:pStyle w:val="FootnoteText"/>
      </w:pPr>
      <w:r>
        <w:rPr>
          <w:rStyle w:val="FootnoteReference"/>
        </w:rPr>
        <w:footnoteRef/>
      </w:r>
      <w:r>
        <w:t xml:space="preserve"> Utrecht University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72609"/>
    <w:multiLevelType w:val="hybridMultilevel"/>
    <w:tmpl w:val="A66A9D44"/>
    <w:lvl w:ilvl="0" w:tplc="E536FDF0">
      <w:start w:val="1"/>
      <w:numFmt w:val="bullet"/>
      <w:lvlText w:val="–"/>
      <w:lvlJc w:val="left"/>
      <w:pPr>
        <w:tabs>
          <w:tab w:val="num" w:pos="720"/>
        </w:tabs>
        <w:ind w:left="720" w:hanging="360"/>
      </w:pPr>
      <w:rPr>
        <w:rFonts w:ascii="Corbel" w:hAnsi="Corbel" w:hint="default"/>
      </w:rPr>
    </w:lvl>
    <w:lvl w:ilvl="1" w:tplc="A59E106E" w:tentative="1">
      <w:start w:val="1"/>
      <w:numFmt w:val="bullet"/>
      <w:lvlText w:val="–"/>
      <w:lvlJc w:val="left"/>
      <w:pPr>
        <w:tabs>
          <w:tab w:val="num" w:pos="1440"/>
        </w:tabs>
        <w:ind w:left="1440" w:hanging="360"/>
      </w:pPr>
      <w:rPr>
        <w:rFonts w:ascii="Corbel" w:hAnsi="Corbel" w:hint="default"/>
      </w:rPr>
    </w:lvl>
    <w:lvl w:ilvl="2" w:tplc="8DF2EB6E" w:tentative="1">
      <w:start w:val="1"/>
      <w:numFmt w:val="bullet"/>
      <w:lvlText w:val="–"/>
      <w:lvlJc w:val="left"/>
      <w:pPr>
        <w:tabs>
          <w:tab w:val="num" w:pos="2160"/>
        </w:tabs>
        <w:ind w:left="2160" w:hanging="360"/>
      </w:pPr>
      <w:rPr>
        <w:rFonts w:ascii="Corbel" w:hAnsi="Corbel" w:hint="default"/>
      </w:rPr>
    </w:lvl>
    <w:lvl w:ilvl="3" w:tplc="6F6884C8" w:tentative="1">
      <w:start w:val="1"/>
      <w:numFmt w:val="bullet"/>
      <w:lvlText w:val="–"/>
      <w:lvlJc w:val="left"/>
      <w:pPr>
        <w:tabs>
          <w:tab w:val="num" w:pos="2880"/>
        </w:tabs>
        <w:ind w:left="2880" w:hanging="360"/>
      </w:pPr>
      <w:rPr>
        <w:rFonts w:ascii="Corbel" w:hAnsi="Corbel" w:hint="default"/>
      </w:rPr>
    </w:lvl>
    <w:lvl w:ilvl="4" w:tplc="7550E218" w:tentative="1">
      <w:start w:val="1"/>
      <w:numFmt w:val="bullet"/>
      <w:lvlText w:val="–"/>
      <w:lvlJc w:val="left"/>
      <w:pPr>
        <w:tabs>
          <w:tab w:val="num" w:pos="3600"/>
        </w:tabs>
        <w:ind w:left="3600" w:hanging="360"/>
      </w:pPr>
      <w:rPr>
        <w:rFonts w:ascii="Corbel" w:hAnsi="Corbel" w:hint="default"/>
      </w:rPr>
    </w:lvl>
    <w:lvl w:ilvl="5" w:tplc="647E8EBA" w:tentative="1">
      <w:start w:val="1"/>
      <w:numFmt w:val="bullet"/>
      <w:lvlText w:val="–"/>
      <w:lvlJc w:val="left"/>
      <w:pPr>
        <w:tabs>
          <w:tab w:val="num" w:pos="4320"/>
        </w:tabs>
        <w:ind w:left="4320" w:hanging="360"/>
      </w:pPr>
      <w:rPr>
        <w:rFonts w:ascii="Corbel" w:hAnsi="Corbel" w:hint="default"/>
      </w:rPr>
    </w:lvl>
    <w:lvl w:ilvl="6" w:tplc="E1366A18" w:tentative="1">
      <w:start w:val="1"/>
      <w:numFmt w:val="bullet"/>
      <w:lvlText w:val="–"/>
      <w:lvlJc w:val="left"/>
      <w:pPr>
        <w:tabs>
          <w:tab w:val="num" w:pos="5040"/>
        </w:tabs>
        <w:ind w:left="5040" w:hanging="360"/>
      </w:pPr>
      <w:rPr>
        <w:rFonts w:ascii="Corbel" w:hAnsi="Corbel" w:hint="default"/>
      </w:rPr>
    </w:lvl>
    <w:lvl w:ilvl="7" w:tplc="B81A6D70" w:tentative="1">
      <w:start w:val="1"/>
      <w:numFmt w:val="bullet"/>
      <w:lvlText w:val="–"/>
      <w:lvlJc w:val="left"/>
      <w:pPr>
        <w:tabs>
          <w:tab w:val="num" w:pos="5760"/>
        </w:tabs>
        <w:ind w:left="5760" w:hanging="360"/>
      </w:pPr>
      <w:rPr>
        <w:rFonts w:ascii="Corbel" w:hAnsi="Corbel" w:hint="default"/>
      </w:rPr>
    </w:lvl>
    <w:lvl w:ilvl="8" w:tplc="E1A4EE0E" w:tentative="1">
      <w:start w:val="1"/>
      <w:numFmt w:val="bullet"/>
      <w:lvlText w:val="–"/>
      <w:lvlJc w:val="left"/>
      <w:pPr>
        <w:tabs>
          <w:tab w:val="num" w:pos="6480"/>
        </w:tabs>
        <w:ind w:left="6480" w:hanging="360"/>
      </w:pPr>
      <w:rPr>
        <w:rFonts w:ascii="Corbel" w:hAnsi="Corbel" w:hint="default"/>
      </w:rPr>
    </w:lvl>
  </w:abstractNum>
  <w:abstractNum w:abstractNumId="1">
    <w:nsid w:val="1FE85066"/>
    <w:multiLevelType w:val="hybridMultilevel"/>
    <w:tmpl w:val="289C3BA6"/>
    <w:lvl w:ilvl="0" w:tplc="B232A742">
      <w:start w:val="1"/>
      <w:numFmt w:val="bullet"/>
      <w:lvlText w:val="•"/>
      <w:lvlJc w:val="left"/>
      <w:pPr>
        <w:tabs>
          <w:tab w:val="num" w:pos="720"/>
        </w:tabs>
        <w:ind w:left="720" w:hanging="360"/>
      </w:pPr>
      <w:rPr>
        <w:rFonts w:ascii="Arial" w:hAnsi="Arial" w:hint="default"/>
      </w:rPr>
    </w:lvl>
    <w:lvl w:ilvl="1" w:tplc="3F0860BC">
      <w:start w:val="2378"/>
      <w:numFmt w:val="bullet"/>
      <w:lvlText w:val="–"/>
      <w:lvlJc w:val="left"/>
      <w:pPr>
        <w:tabs>
          <w:tab w:val="num" w:pos="1440"/>
        </w:tabs>
        <w:ind w:left="1440" w:hanging="360"/>
      </w:pPr>
      <w:rPr>
        <w:rFonts w:ascii="Arial" w:hAnsi="Arial" w:hint="default"/>
      </w:rPr>
    </w:lvl>
    <w:lvl w:ilvl="2" w:tplc="8458B542" w:tentative="1">
      <w:start w:val="1"/>
      <w:numFmt w:val="bullet"/>
      <w:lvlText w:val="•"/>
      <w:lvlJc w:val="left"/>
      <w:pPr>
        <w:tabs>
          <w:tab w:val="num" w:pos="2160"/>
        </w:tabs>
        <w:ind w:left="2160" w:hanging="360"/>
      </w:pPr>
      <w:rPr>
        <w:rFonts w:ascii="Arial" w:hAnsi="Arial" w:hint="default"/>
      </w:rPr>
    </w:lvl>
    <w:lvl w:ilvl="3" w:tplc="5C580C92" w:tentative="1">
      <w:start w:val="1"/>
      <w:numFmt w:val="bullet"/>
      <w:lvlText w:val="•"/>
      <w:lvlJc w:val="left"/>
      <w:pPr>
        <w:tabs>
          <w:tab w:val="num" w:pos="2880"/>
        </w:tabs>
        <w:ind w:left="2880" w:hanging="360"/>
      </w:pPr>
      <w:rPr>
        <w:rFonts w:ascii="Arial" w:hAnsi="Arial" w:hint="default"/>
      </w:rPr>
    </w:lvl>
    <w:lvl w:ilvl="4" w:tplc="BE30D102" w:tentative="1">
      <w:start w:val="1"/>
      <w:numFmt w:val="bullet"/>
      <w:lvlText w:val="•"/>
      <w:lvlJc w:val="left"/>
      <w:pPr>
        <w:tabs>
          <w:tab w:val="num" w:pos="3600"/>
        </w:tabs>
        <w:ind w:left="3600" w:hanging="360"/>
      </w:pPr>
      <w:rPr>
        <w:rFonts w:ascii="Arial" w:hAnsi="Arial" w:hint="default"/>
      </w:rPr>
    </w:lvl>
    <w:lvl w:ilvl="5" w:tplc="CCF8F0D0" w:tentative="1">
      <w:start w:val="1"/>
      <w:numFmt w:val="bullet"/>
      <w:lvlText w:val="•"/>
      <w:lvlJc w:val="left"/>
      <w:pPr>
        <w:tabs>
          <w:tab w:val="num" w:pos="4320"/>
        </w:tabs>
        <w:ind w:left="4320" w:hanging="360"/>
      </w:pPr>
      <w:rPr>
        <w:rFonts w:ascii="Arial" w:hAnsi="Arial" w:hint="default"/>
      </w:rPr>
    </w:lvl>
    <w:lvl w:ilvl="6" w:tplc="EBAA977E" w:tentative="1">
      <w:start w:val="1"/>
      <w:numFmt w:val="bullet"/>
      <w:lvlText w:val="•"/>
      <w:lvlJc w:val="left"/>
      <w:pPr>
        <w:tabs>
          <w:tab w:val="num" w:pos="5040"/>
        </w:tabs>
        <w:ind w:left="5040" w:hanging="360"/>
      </w:pPr>
      <w:rPr>
        <w:rFonts w:ascii="Arial" w:hAnsi="Arial" w:hint="default"/>
      </w:rPr>
    </w:lvl>
    <w:lvl w:ilvl="7" w:tplc="5866CF28" w:tentative="1">
      <w:start w:val="1"/>
      <w:numFmt w:val="bullet"/>
      <w:lvlText w:val="•"/>
      <w:lvlJc w:val="left"/>
      <w:pPr>
        <w:tabs>
          <w:tab w:val="num" w:pos="5760"/>
        </w:tabs>
        <w:ind w:left="5760" w:hanging="360"/>
      </w:pPr>
      <w:rPr>
        <w:rFonts w:ascii="Arial" w:hAnsi="Arial" w:hint="default"/>
      </w:rPr>
    </w:lvl>
    <w:lvl w:ilvl="8" w:tplc="E0629EB6" w:tentative="1">
      <w:start w:val="1"/>
      <w:numFmt w:val="bullet"/>
      <w:lvlText w:val="•"/>
      <w:lvlJc w:val="left"/>
      <w:pPr>
        <w:tabs>
          <w:tab w:val="num" w:pos="6480"/>
        </w:tabs>
        <w:ind w:left="6480" w:hanging="360"/>
      </w:pPr>
      <w:rPr>
        <w:rFonts w:ascii="Arial" w:hAnsi="Arial" w:hint="default"/>
      </w:rPr>
    </w:lvl>
  </w:abstractNum>
  <w:abstractNum w:abstractNumId="2">
    <w:nsid w:val="2753650A"/>
    <w:multiLevelType w:val="hybridMultilevel"/>
    <w:tmpl w:val="1A52208C"/>
    <w:lvl w:ilvl="0" w:tplc="DEC0F124">
      <w:start w:val="1"/>
      <w:numFmt w:val="bullet"/>
      <w:lvlText w:val="•"/>
      <w:lvlJc w:val="left"/>
      <w:pPr>
        <w:tabs>
          <w:tab w:val="num" w:pos="720"/>
        </w:tabs>
        <w:ind w:left="720" w:hanging="360"/>
      </w:pPr>
      <w:rPr>
        <w:rFonts w:ascii="Arial" w:hAnsi="Arial" w:hint="default"/>
      </w:rPr>
    </w:lvl>
    <w:lvl w:ilvl="1" w:tplc="70DC28EE">
      <w:start w:val="1387"/>
      <w:numFmt w:val="bullet"/>
      <w:lvlText w:val="–"/>
      <w:lvlJc w:val="left"/>
      <w:pPr>
        <w:tabs>
          <w:tab w:val="num" w:pos="1440"/>
        </w:tabs>
        <w:ind w:left="1440" w:hanging="360"/>
      </w:pPr>
      <w:rPr>
        <w:rFonts w:ascii="Arial" w:hAnsi="Arial" w:hint="default"/>
      </w:rPr>
    </w:lvl>
    <w:lvl w:ilvl="2" w:tplc="7B40D0AE" w:tentative="1">
      <w:start w:val="1"/>
      <w:numFmt w:val="bullet"/>
      <w:lvlText w:val="•"/>
      <w:lvlJc w:val="left"/>
      <w:pPr>
        <w:tabs>
          <w:tab w:val="num" w:pos="2160"/>
        </w:tabs>
        <w:ind w:left="2160" w:hanging="360"/>
      </w:pPr>
      <w:rPr>
        <w:rFonts w:ascii="Arial" w:hAnsi="Arial" w:hint="default"/>
      </w:rPr>
    </w:lvl>
    <w:lvl w:ilvl="3" w:tplc="4D263656" w:tentative="1">
      <w:start w:val="1"/>
      <w:numFmt w:val="bullet"/>
      <w:lvlText w:val="•"/>
      <w:lvlJc w:val="left"/>
      <w:pPr>
        <w:tabs>
          <w:tab w:val="num" w:pos="2880"/>
        </w:tabs>
        <w:ind w:left="2880" w:hanging="360"/>
      </w:pPr>
      <w:rPr>
        <w:rFonts w:ascii="Arial" w:hAnsi="Arial" w:hint="default"/>
      </w:rPr>
    </w:lvl>
    <w:lvl w:ilvl="4" w:tplc="DC6EFF76" w:tentative="1">
      <w:start w:val="1"/>
      <w:numFmt w:val="bullet"/>
      <w:lvlText w:val="•"/>
      <w:lvlJc w:val="left"/>
      <w:pPr>
        <w:tabs>
          <w:tab w:val="num" w:pos="3600"/>
        </w:tabs>
        <w:ind w:left="3600" w:hanging="360"/>
      </w:pPr>
      <w:rPr>
        <w:rFonts w:ascii="Arial" w:hAnsi="Arial" w:hint="default"/>
      </w:rPr>
    </w:lvl>
    <w:lvl w:ilvl="5" w:tplc="212CD922" w:tentative="1">
      <w:start w:val="1"/>
      <w:numFmt w:val="bullet"/>
      <w:lvlText w:val="•"/>
      <w:lvlJc w:val="left"/>
      <w:pPr>
        <w:tabs>
          <w:tab w:val="num" w:pos="4320"/>
        </w:tabs>
        <w:ind w:left="4320" w:hanging="360"/>
      </w:pPr>
      <w:rPr>
        <w:rFonts w:ascii="Arial" w:hAnsi="Arial" w:hint="default"/>
      </w:rPr>
    </w:lvl>
    <w:lvl w:ilvl="6" w:tplc="7264C298" w:tentative="1">
      <w:start w:val="1"/>
      <w:numFmt w:val="bullet"/>
      <w:lvlText w:val="•"/>
      <w:lvlJc w:val="left"/>
      <w:pPr>
        <w:tabs>
          <w:tab w:val="num" w:pos="5040"/>
        </w:tabs>
        <w:ind w:left="5040" w:hanging="360"/>
      </w:pPr>
      <w:rPr>
        <w:rFonts w:ascii="Arial" w:hAnsi="Arial" w:hint="default"/>
      </w:rPr>
    </w:lvl>
    <w:lvl w:ilvl="7" w:tplc="BE18374A" w:tentative="1">
      <w:start w:val="1"/>
      <w:numFmt w:val="bullet"/>
      <w:lvlText w:val="•"/>
      <w:lvlJc w:val="left"/>
      <w:pPr>
        <w:tabs>
          <w:tab w:val="num" w:pos="5760"/>
        </w:tabs>
        <w:ind w:left="5760" w:hanging="360"/>
      </w:pPr>
      <w:rPr>
        <w:rFonts w:ascii="Arial" w:hAnsi="Arial" w:hint="default"/>
      </w:rPr>
    </w:lvl>
    <w:lvl w:ilvl="8" w:tplc="93407F20" w:tentative="1">
      <w:start w:val="1"/>
      <w:numFmt w:val="bullet"/>
      <w:lvlText w:val="•"/>
      <w:lvlJc w:val="left"/>
      <w:pPr>
        <w:tabs>
          <w:tab w:val="num" w:pos="6480"/>
        </w:tabs>
        <w:ind w:left="6480" w:hanging="360"/>
      </w:pPr>
      <w:rPr>
        <w:rFonts w:ascii="Arial" w:hAnsi="Arial" w:hint="default"/>
      </w:rPr>
    </w:lvl>
  </w:abstractNum>
  <w:abstractNum w:abstractNumId="3">
    <w:nsid w:val="4B606644"/>
    <w:multiLevelType w:val="hybridMultilevel"/>
    <w:tmpl w:val="2B5CE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043269"/>
    <w:multiLevelType w:val="hybridMultilevel"/>
    <w:tmpl w:val="2B5CE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787806"/>
    <w:multiLevelType w:val="hybridMultilevel"/>
    <w:tmpl w:val="2B5CE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E42169"/>
    <w:multiLevelType w:val="hybridMultilevel"/>
    <w:tmpl w:val="E8B61104"/>
    <w:lvl w:ilvl="0" w:tplc="374EFEC2">
      <w:start w:val="1"/>
      <w:numFmt w:val="bullet"/>
      <w:lvlText w:val="–"/>
      <w:lvlJc w:val="left"/>
      <w:pPr>
        <w:tabs>
          <w:tab w:val="num" w:pos="720"/>
        </w:tabs>
        <w:ind w:left="720" w:hanging="360"/>
      </w:pPr>
      <w:rPr>
        <w:rFonts w:ascii="Corbel" w:hAnsi="Corbel" w:hint="default"/>
      </w:rPr>
    </w:lvl>
    <w:lvl w:ilvl="1" w:tplc="EC0C1C6C">
      <w:start w:val="2544"/>
      <w:numFmt w:val="bullet"/>
      <w:lvlText w:val="‐"/>
      <w:lvlJc w:val="left"/>
      <w:pPr>
        <w:tabs>
          <w:tab w:val="num" w:pos="1440"/>
        </w:tabs>
        <w:ind w:left="1440" w:hanging="360"/>
      </w:pPr>
      <w:rPr>
        <w:rFonts w:ascii="Corbel" w:hAnsi="Corbel" w:hint="default"/>
      </w:rPr>
    </w:lvl>
    <w:lvl w:ilvl="2" w:tplc="A00674D2" w:tentative="1">
      <w:start w:val="1"/>
      <w:numFmt w:val="bullet"/>
      <w:lvlText w:val="–"/>
      <w:lvlJc w:val="left"/>
      <w:pPr>
        <w:tabs>
          <w:tab w:val="num" w:pos="2160"/>
        </w:tabs>
        <w:ind w:left="2160" w:hanging="360"/>
      </w:pPr>
      <w:rPr>
        <w:rFonts w:ascii="Corbel" w:hAnsi="Corbel" w:hint="default"/>
      </w:rPr>
    </w:lvl>
    <w:lvl w:ilvl="3" w:tplc="1CC8AA40" w:tentative="1">
      <w:start w:val="1"/>
      <w:numFmt w:val="bullet"/>
      <w:lvlText w:val="–"/>
      <w:lvlJc w:val="left"/>
      <w:pPr>
        <w:tabs>
          <w:tab w:val="num" w:pos="2880"/>
        </w:tabs>
        <w:ind w:left="2880" w:hanging="360"/>
      </w:pPr>
      <w:rPr>
        <w:rFonts w:ascii="Corbel" w:hAnsi="Corbel" w:hint="default"/>
      </w:rPr>
    </w:lvl>
    <w:lvl w:ilvl="4" w:tplc="E75A1152" w:tentative="1">
      <w:start w:val="1"/>
      <w:numFmt w:val="bullet"/>
      <w:lvlText w:val="–"/>
      <w:lvlJc w:val="left"/>
      <w:pPr>
        <w:tabs>
          <w:tab w:val="num" w:pos="3600"/>
        </w:tabs>
        <w:ind w:left="3600" w:hanging="360"/>
      </w:pPr>
      <w:rPr>
        <w:rFonts w:ascii="Corbel" w:hAnsi="Corbel" w:hint="default"/>
      </w:rPr>
    </w:lvl>
    <w:lvl w:ilvl="5" w:tplc="CBCA9A60" w:tentative="1">
      <w:start w:val="1"/>
      <w:numFmt w:val="bullet"/>
      <w:lvlText w:val="–"/>
      <w:lvlJc w:val="left"/>
      <w:pPr>
        <w:tabs>
          <w:tab w:val="num" w:pos="4320"/>
        </w:tabs>
        <w:ind w:left="4320" w:hanging="360"/>
      </w:pPr>
      <w:rPr>
        <w:rFonts w:ascii="Corbel" w:hAnsi="Corbel" w:hint="default"/>
      </w:rPr>
    </w:lvl>
    <w:lvl w:ilvl="6" w:tplc="CF92C336" w:tentative="1">
      <w:start w:val="1"/>
      <w:numFmt w:val="bullet"/>
      <w:lvlText w:val="–"/>
      <w:lvlJc w:val="left"/>
      <w:pPr>
        <w:tabs>
          <w:tab w:val="num" w:pos="5040"/>
        </w:tabs>
        <w:ind w:left="5040" w:hanging="360"/>
      </w:pPr>
      <w:rPr>
        <w:rFonts w:ascii="Corbel" w:hAnsi="Corbel" w:hint="default"/>
      </w:rPr>
    </w:lvl>
    <w:lvl w:ilvl="7" w:tplc="7CF8B926" w:tentative="1">
      <w:start w:val="1"/>
      <w:numFmt w:val="bullet"/>
      <w:lvlText w:val="–"/>
      <w:lvlJc w:val="left"/>
      <w:pPr>
        <w:tabs>
          <w:tab w:val="num" w:pos="5760"/>
        </w:tabs>
        <w:ind w:left="5760" w:hanging="360"/>
      </w:pPr>
      <w:rPr>
        <w:rFonts w:ascii="Corbel" w:hAnsi="Corbel" w:hint="default"/>
      </w:rPr>
    </w:lvl>
    <w:lvl w:ilvl="8" w:tplc="7FC2C86A" w:tentative="1">
      <w:start w:val="1"/>
      <w:numFmt w:val="bullet"/>
      <w:lvlText w:val="–"/>
      <w:lvlJc w:val="left"/>
      <w:pPr>
        <w:tabs>
          <w:tab w:val="num" w:pos="6480"/>
        </w:tabs>
        <w:ind w:left="6480" w:hanging="360"/>
      </w:pPr>
      <w:rPr>
        <w:rFonts w:ascii="Corbel" w:hAnsi="Corbel" w:hint="default"/>
      </w:rPr>
    </w:lvl>
  </w:abstractNum>
  <w:abstractNum w:abstractNumId="7">
    <w:nsid w:val="6ABE5AAE"/>
    <w:multiLevelType w:val="hybridMultilevel"/>
    <w:tmpl w:val="07801E6E"/>
    <w:lvl w:ilvl="0" w:tplc="D2E42B50">
      <w:start w:val="1"/>
      <w:numFmt w:val="bullet"/>
      <w:lvlText w:val="–"/>
      <w:lvlJc w:val="left"/>
      <w:pPr>
        <w:tabs>
          <w:tab w:val="num" w:pos="720"/>
        </w:tabs>
        <w:ind w:left="720" w:hanging="360"/>
      </w:pPr>
      <w:rPr>
        <w:rFonts w:ascii="Corbel" w:hAnsi="Corbel" w:hint="default"/>
      </w:rPr>
    </w:lvl>
    <w:lvl w:ilvl="1" w:tplc="0096B378" w:tentative="1">
      <w:start w:val="1"/>
      <w:numFmt w:val="bullet"/>
      <w:lvlText w:val="–"/>
      <w:lvlJc w:val="left"/>
      <w:pPr>
        <w:tabs>
          <w:tab w:val="num" w:pos="1440"/>
        </w:tabs>
        <w:ind w:left="1440" w:hanging="360"/>
      </w:pPr>
      <w:rPr>
        <w:rFonts w:ascii="Corbel" w:hAnsi="Corbel" w:hint="default"/>
      </w:rPr>
    </w:lvl>
    <w:lvl w:ilvl="2" w:tplc="89EEFB68" w:tentative="1">
      <w:start w:val="1"/>
      <w:numFmt w:val="bullet"/>
      <w:lvlText w:val="–"/>
      <w:lvlJc w:val="left"/>
      <w:pPr>
        <w:tabs>
          <w:tab w:val="num" w:pos="2160"/>
        </w:tabs>
        <w:ind w:left="2160" w:hanging="360"/>
      </w:pPr>
      <w:rPr>
        <w:rFonts w:ascii="Corbel" w:hAnsi="Corbel" w:hint="default"/>
      </w:rPr>
    </w:lvl>
    <w:lvl w:ilvl="3" w:tplc="91840A02" w:tentative="1">
      <w:start w:val="1"/>
      <w:numFmt w:val="bullet"/>
      <w:lvlText w:val="–"/>
      <w:lvlJc w:val="left"/>
      <w:pPr>
        <w:tabs>
          <w:tab w:val="num" w:pos="2880"/>
        </w:tabs>
        <w:ind w:left="2880" w:hanging="360"/>
      </w:pPr>
      <w:rPr>
        <w:rFonts w:ascii="Corbel" w:hAnsi="Corbel" w:hint="default"/>
      </w:rPr>
    </w:lvl>
    <w:lvl w:ilvl="4" w:tplc="4648C3A6" w:tentative="1">
      <w:start w:val="1"/>
      <w:numFmt w:val="bullet"/>
      <w:lvlText w:val="–"/>
      <w:lvlJc w:val="left"/>
      <w:pPr>
        <w:tabs>
          <w:tab w:val="num" w:pos="3600"/>
        </w:tabs>
        <w:ind w:left="3600" w:hanging="360"/>
      </w:pPr>
      <w:rPr>
        <w:rFonts w:ascii="Corbel" w:hAnsi="Corbel" w:hint="default"/>
      </w:rPr>
    </w:lvl>
    <w:lvl w:ilvl="5" w:tplc="6888831E" w:tentative="1">
      <w:start w:val="1"/>
      <w:numFmt w:val="bullet"/>
      <w:lvlText w:val="–"/>
      <w:lvlJc w:val="left"/>
      <w:pPr>
        <w:tabs>
          <w:tab w:val="num" w:pos="4320"/>
        </w:tabs>
        <w:ind w:left="4320" w:hanging="360"/>
      </w:pPr>
      <w:rPr>
        <w:rFonts w:ascii="Corbel" w:hAnsi="Corbel" w:hint="default"/>
      </w:rPr>
    </w:lvl>
    <w:lvl w:ilvl="6" w:tplc="BF1C397E" w:tentative="1">
      <w:start w:val="1"/>
      <w:numFmt w:val="bullet"/>
      <w:lvlText w:val="–"/>
      <w:lvlJc w:val="left"/>
      <w:pPr>
        <w:tabs>
          <w:tab w:val="num" w:pos="5040"/>
        </w:tabs>
        <w:ind w:left="5040" w:hanging="360"/>
      </w:pPr>
      <w:rPr>
        <w:rFonts w:ascii="Corbel" w:hAnsi="Corbel" w:hint="default"/>
      </w:rPr>
    </w:lvl>
    <w:lvl w:ilvl="7" w:tplc="EEE210E8" w:tentative="1">
      <w:start w:val="1"/>
      <w:numFmt w:val="bullet"/>
      <w:lvlText w:val="–"/>
      <w:lvlJc w:val="left"/>
      <w:pPr>
        <w:tabs>
          <w:tab w:val="num" w:pos="5760"/>
        </w:tabs>
        <w:ind w:left="5760" w:hanging="360"/>
      </w:pPr>
      <w:rPr>
        <w:rFonts w:ascii="Corbel" w:hAnsi="Corbel" w:hint="default"/>
      </w:rPr>
    </w:lvl>
    <w:lvl w:ilvl="8" w:tplc="D9B81D0E" w:tentative="1">
      <w:start w:val="1"/>
      <w:numFmt w:val="bullet"/>
      <w:lvlText w:val="–"/>
      <w:lvlJc w:val="left"/>
      <w:pPr>
        <w:tabs>
          <w:tab w:val="num" w:pos="6480"/>
        </w:tabs>
        <w:ind w:left="6480" w:hanging="360"/>
      </w:pPr>
      <w:rPr>
        <w:rFonts w:ascii="Corbel" w:hAnsi="Corbel" w:hint="default"/>
      </w:rPr>
    </w:lvl>
  </w:abstractNum>
  <w:abstractNum w:abstractNumId="8">
    <w:nsid w:val="7C760DF2"/>
    <w:multiLevelType w:val="hybridMultilevel"/>
    <w:tmpl w:val="3A4CDFCC"/>
    <w:lvl w:ilvl="0" w:tplc="54F0E55C">
      <w:start w:val="1"/>
      <w:numFmt w:val="bullet"/>
      <w:lvlText w:val="-"/>
      <w:lvlJc w:val="left"/>
      <w:pPr>
        <w:tabs>
          <w:tab w:val="num" w:pos="720"/>
        </w:tabs>
        <w:ind w:left="720" w:hanging="360"/>
      </w:pPr>
      <w:rPr>
        <w:rFonts w:ascii="Times New Roman" w:hAnsi="Times New Roman" w:hint="default"/>
      </w:rPr>
    </w:lvl>
    <w:lvl w:ilvl="1" w:tplc="99A4D0EE" w:tentative="1">
      <w:start w:val="1"/>
      <w:numFmt w:val="bullet"/>
      <w:lvlText w:val="-"/>
      <w:lvlJc w:val="left"/>
      <w:pPr>
        <w:tabs>
          <w:tab w:val="num" w:pos="1440"/>
        </w:tabs>
        <w:ind w:left="1440" w:hanging="360"/>
      </w:pPr>
      <w:rPr>
        <w:rFonts w:ascii="Times New Roman" w:hAnsi="Times New Roman" w:hint="default"/>
      </w:rPr>
    </w:lvl>
    <w:lvl w:ilvl="2" w:tplc="DC040782" w:tentative="1">
      <w:start w:val="1"/>
      <w:numFmt w:val="bullet"/>
      <w:lvlText w:val="-"/>
      <w:lvlJc w:val="left"/>
      <w:pPr>
        <w:tabs>
          <w:tab w:val="num" w:pos="2160"/>
        </w:tabs>
        <w:ind w:left="2160" w:hanging="360"/>
      </w:pPr>
      <w:rPr>
        <w:rFonts w:ascii="Times New Roman" w:hAnsi="Times New Roman" w:hint="default"/>
      </w:rPr>
    </w:lvl>
    <w:lvl w:ilvl="3" w:tplc="8468289E" w:tentative="1">
      <w:start w:val="1"/>
      <w:numFmt w:val="bullet"/>
      <w:lvlText w:val="-"/>
      <w:lvlJc w:val="left"/>
      <w:pPr>
        <w:tabs>
          <w:tab w:val="num" w:pos="2880"/>
        </w:tabs>
        <w:ind w:left="2880" w:hanging="360"/>
      </w:pPr>
      <w:rPr>
        <w:rFonts w:ascii="Times New Roman" w:hAnsi="Times New Roman" w:hint="default"/>
      </w:rPr>
    </w:lvl>
    <w:lvl w:ilvl="4" w:tplc="7CAEAE28" w:tentative="1">
      <w:start w:val="1"/>
      <w:numFmt w:val="bullet"/>
      <w:lvlText w:val="-"/>
      <w:lvlJc w:val="left"/>
      <w:pPr>
        <w:tabs>
          <w:tab w:val="num" w:pos="3600"/>
        </w:tabs>
        <w:ind w:left="3600" w:hanging="360"/>
      </w:pPr>
      <w:rPr>
        <w:rFonts w:ascii="Times New Roman" w:hAnsi="Times New Roman" w:hint="default"/>
      </w:rPr>
    </w:lvl>
    <w:lvl w:ilvl="5" w:tplc="AFB67BC6" w:tentative="1">
      <w:start w:val="1"/>
      <w:numFmt w:val="bullet"/>
      <w:lvlText w:val="-"/>
      <w:lvlJc w:val="left"/>
      <w:pPr>
        <w:tabs>
          <w:tab w:val="num" w:pos="4320"/>
        </w:tabs>
        <w:ind w:left="4320" w:hanging="360"/>
      </w:pPr>
      <w:rPr>
        <w:rFonts w:ascii="Times New Roman" w:hAnsi="Times New Roman" w:hint="default"/>
      </w:rPr>
    </w:lvl>
    <w:lvl w:ilvl="6" w:tplc="FDFA0F4C" w:tentative="1">
      <w:start w:val="1"/>
      <w:numFmt w:val="bullet"/>
      <w:lvlText w:val="-"/>
      <w:lvlJc w:val="left"/>
      <w:pPr>
        <w:tabs>
          <w:tab w:val="num" w:pos="5040"/>
        </w:tabs>
        <w:ind w:left="5040" w:hanging="360"/>
      </w:pPr>
      <w:rPr>
        <w:rFonts w:ascii="Times New Roman" w:hAnsi="Times New Roman" w:hint="default"/>
      </w:rPr>
    </w:lvl>
    <w:lvl w:ilvl="7" w:tplc="16840BB6" w:tentative="1">
      <w:start w:val="1"/>
      <w:numFmt w:val="bullet"/>
      <w:lvlText w:val="-"/>
      <w:lvlJc w:val="left"/>
      <w:pPr>
        <w:tabs>
          <w:tab w:val="num" w:pos="5760"/>
        </w:tabs>
        <w:ind w:left="5760" w:hanging="360"/>
      </w:pPr>
      <w:rPr>
        <w:rFonts w:ascii="Times New Roman" w:hAnsi="Times New Roman" w:hint="default"/>
      </w:rPr>
    </w:lvl>
    <w:lvl w:ilvl="8" w:tplc="85B03C0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0"/>
  </w:num>
  <w:num w:numId="4">
    <w:abstractNumId w:val="5"/>
  </w:num>
  <w:num w:numId="5">
    <w:abstractNumId w:val="4"/>
  </w:num>
  <w:num w:numId="6">
    <w:abstractNumId w:val="3"/>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0AA"/>
    <w:rsid w:val="00061CF2"/>
    <w:rsid w:val="00075E5F"/>
    <w:rsid w:val="000E19C2"/>
    <w:rsid w:val="0010301B"/>
    <w:rsid w:val="00155791"/>
    <w:rsid w:val="001A49B8"/>
    <w:rsid w:val="001C474B"/>
    <w:rsid w:val="00260D54"/>
    <w:rsid w:val="002B3062"/>
    <w:rsid w:val="00343931"/>
    <w:rsid w:val="00362F82"/>
    <w:rsid w:val="0037316B"/>
    <w:rsid w:val="0038404F"/>
    <w:rsid w:val="003E5D24"/>
    <w:rsid w:val="00437B95"/>
    <w:rsid w:val="00440326"/>
    <w:rsid w:val="00484677"/>
    <w:rsid w:val="005B132F"/>
    <w:rsid w:val="005F3D9E"/>
    <w:rsid w:val="006834D1"/>
    <w:rsid w:val="00726AFF"/>
    <w:rsid w:val="00796625"/>
    <w:rsid w:val="0089681E"/>
    <w:rsid w:val="00896A59"/>
    <w:rsid w:val="008A6DFD"/>
    <w:rsid w:val="008E749D"/>
    <w:rsid w:val="009632E6"/>
    <w:rsid w:val="009855CE"/>
    <w:rsid w:val="009B50AA"/>
    <w:rsid w:val="009F3646"/>
    <w:rsid w:val="009F3F8A"/>
    <w:rsid w:val="00A21AF1"/>
    <w:rsid w:val="00A30EF3"/>
    <w:rsid w:val="00AF136F"/>
    <w:rsid w:val="00B05379"/>
    <w:rsid w:val="00B34910"/>
    <w:rsid w:val="00B5058A"/>
    <w:rsid w:val="00B812B5"/>
    <w:rsid w:val="00BF7561"/>
    <w:rsid w:val="00C27BF3"/>
    <w:rsid w:val="00C73B4B"/>
    <w:rsid w:val="00CD4C51"/>
    <w:rsid w:val="00CF698F"/>
    <w:rsid w:val="00DA366A"/>
    <w:rsid w:val="00DC13CE"/>
    <w:rsid w:val="00DC1C87"/>
    <w:rsid w:val="00E1715D"/>
    <w:rsid w:val="00E2173D"/>
    <w:rsid w:val="00E34F1E"/>
    <w:rsid w:val="00E84D91"/>
    <w:rsid w:val="00EB4014"/>
    <w:rsid w:val="00EC12DC"/>
    <w:rsid w:val="00EC2B3B"/>
    <w:rsid w:val="00ED4C82"/>
    <w:rsid w:val="00F67181"/>
    <w:rsid w:val="00F721DF"/>
    <w:rsid w:val="00F73215"/>
    <w:rsid w:val="00F85D9E"/>
    <w:rsid w:val="00FB16BD"/>
    <w:rsid w:val="00FB2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5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50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1CF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D4C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0A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9B50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50A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B50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E5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D24"/>
    <w:rPr>
      <w:rFonts w:ascii="Tahoma" w:hAnsi="Tahoma" w:cs="Tahoma"/>
      <w:sz w:val="16"/>
      <w:szCs w:val="16"/>
    </w:rPr>
  </w:style>
  <w:style w:type="character" w:customStyle="1" w:styleId="Heading3Char">
    <w:name w:val="Heading 3 Char"/>
    <w:basedOn w:val="DefaultParagraphFont"/>
    <w:link w:val="Heading3"/>
    <w:uiPriority w:val="9"/>
    <w:rsid w:val="00061CF2"/>
    <w:rPr>
      <w:rFonts w:asciiTheme="majorHAnsi" w:eastAsiaTheme="majorEastAsia" w:hAnsiTheme="majorHAnsi" w:cstheme="majorBidi"/>
      <w:b/>
      <w:bCs/>
      <w:color w:val="4F81BD" w:themeColor="accent1"/>
    </w:rPr>
  </w:style>
  <w:style w:type="paragraph" w:styleId="NoSpacing">
    <w:name w:val="No Spacing"/>
    <w:uiPriority w:val="1"/>
    <w:qFormat/>
    <w:rsid w:val="006834D1"/>
    <w:pPr>
      <w:spacing w:after="0" w:line="240" w:lineRule="auto"/>
    </w:pPr>
  </w:style>
  <w:style w:type="character" w:customStyle="1" w:styleId="Heading4Char">
    <w:name w:val="Heading 4 Char"/>
    <w:basedOn w:val="DefaultParagraphFont"/>
    <w:link w:val="Heading4"/>
    <w:uiPriority w:val="9"/>
    <w:rsid w:val="00CD4C51"/>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726A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6AFF"/>
    <w:rPr>
      <w:sz w:val="20"/>
      <w:szCs w:val="20"/>
    </w:rPr>
  </w:style>
  <w:style w:type="character" w:styleId="FootnoteReference">
    <w:name w:val="footnote reference"/>
    <w:basedOn w:val="DefaultParagraphFont"/>
    <w:uiPriority w:val="99"/>
    <w:semiHidden/>
    <w:unhideWhenUsed/>
    <w:rsid w:val="00726AFF"/>
    <w:rPr>
      <w:vertAlign w:val="superscript"/>
    </w:rPr>
  </w:style>
  <w:style w:type="character" w:styleId="CommentReference">
    <w:name w:val="annotation reference"/>
    <w:basedOn w:val="DefaultParagraphFont"/>
    <w:uiPriority w:val="99"/>
    <w:semiHidden/>
    <w:unhideWhenUsed/>
    <w:rsid w:val="00EC2B3B"/>
    <w:rPr>
      <w:sz w:val="16"/>
      <w:szCs w:val="16"/>
    </w:rPr>
  </w:style>
  <w:style w:type="paragraph" w:styleId="CommentText">
    <w:name w:val="annotation text"/>
    <w:basedOn w:val="Normal"/>
    <w:link w:val="CommentTextChar"/>
    <w:uiPriority w:val="99"/>
    <w:semiHidden/>
    <w:unhideWhenUsed/>
    <w:rsid w:val="00EC2B3B"/>
    <w:pPr>
      <w:spacing w:line="240" w:lineRule="auto"/>
    </w:pPr>
    <w:rPr>
      <w:sz w:val="20"/>
      <w:szCs w:val="20"/>
    </w:rPr>
  </w:style>
  <w:style w:type="character" w:customStyle="1" w:styleId="CommentTextChar">
    <w:name w:val="Comment Text Char"/>
    <w:basedOn w:val="DefaultParagraphFont"/>
    <w:link w:val="CommentText"/>
    <w:uiPriority w:val="99"/>
    <w:semiHidden/>
    <w:rsid w:val="00EC2B3B"/>
    <w:rPr>
      <w:sz w:val="20"/>
      <w:szCs w:val="20"/>
    </w:rPr>
  </w:style>
  <w:style w:type="paragraph" w:styleId="CommentSubject">
    <w:name w:val="annotation subject"/>
    <w:basedOn w:val="CommentText"/>
    <w:next w:val="CommentText"/>
    <w:link w:val="CommentSubjectChar"/>
    <w:uiPriority w:val="99"/>
    <w:semiHidden/>
    <w:unhideWhenUsed/>
    <w:rsid w:val="00EC2B3B"/>
    <w:rPr>
      <w:b/>
      <w:bCs/>
    </w:rPr>
  </w:style>
  <w:style w:type="character" w:customStyle="1" w:styleId="CommentSubjectChar">
    <w:name w:val="Comment Subject Char"/>
    <w:basedOn w:val="CommentTextChar"/>
    <w:link w:val="CommentSubject"/>
    <w:uiPriority w:val="99"/>
    <w:semiHidden/>
    <w:rsid w:val="00EC2B3B"/>
    <w:rPr>
      <w:b/>
      <w:bCs/>
      <w:sz w:val="20"/>
      <w:szCs w:val="20"/>
    </w:rPr>
  </w:style>
  <w:style w:type="table" w:styleId="TableGrid">
    <w:name w:val="Table Grid"/>
    <w:basedOn w:val="TableNormal"/>
    <w:rsid w:val="009855C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B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3B4B"/>
  </w:style>
  <w:style w:type="paragraph" w:styleId="Footer">
    <w:name w:val="footer"/>
    <w:basedOn w:val="Normal"/>
    <w:link w:val="FooterChar"/>
    <w:uiPriority w:val="99"/>
    <w:unhideWhenUsed/>
    <w:rsid w:val="00C73B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3B4B"/>
  </w:style>
  <w:style w:type="paragraph" w:styleId="ListParagraph">
    <w:name w:val="List Paragraph"/>
    <w:basedOn w:val="Normal"/>
    <w:uiPriority w:val="34"/>
    <w:qFormat/>
    <w:rsid w:val="0010301B"/>
    <w:pPr>
      <w:spacing w:after="0" w:line="240" w:lineRule="auto"/>
      <w:ind w:left="720"/>
      <w:contextualSpacing/>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5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50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1CF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D4C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0A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9B50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50A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B50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E5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D24"/>
    <w:rPr>
      <w:rFonts w:ascii="Tahoma" w:hAnsi="Tahoma" w:cs="Tahoma"/>
      <w:sz w:val="16"/>
      <w:szCs w:val="16"/>
    </w:rPr>
  </w:style>
  <w:style w:type="character" w:customStyle="1" w:styleId="Heading3Char">
    <w:name w:val="Heading 3 Char"/>
    <w:basedOn w:val="DefaultParagraphFont"/>
    <w:link w:val="Heading3"/>
    <w:uiPriority w:val="9"/>
    <w:rsid w:val="00061CF2"/>
    <w:rPr>
      <w:rFonts w:asciiTheme="majorHAnsi" w:eastAsiaTheme="majorEastAsia" w:hAnsiTheme="majorHAnsi" w:cstheme="majorBidi"/>
      <w:b/>
      <w:bCs/>
      <w:color w:val="4F81BD" w:themeColor="accent1"/>
    </w:rPr>
  </w:style>
  <w:style w:type="paragraph" w:styleId="NoSpacing">
    <w:name w:val="No Spacing"/>
    <w:uiPriority w:val="1"/>
    <w:qFormat/>
    <w:rsid w:val="006834D1"/>
    <w:pPr>
      <w:spacing w:after="0" w:line="240" w:lineRule="auto"/>
    </w:pPr>
  </w:style>
  <w:style w:type="character" w:customStyle="1" w:styleId="Heading4Char">
    <w:name w:val="Heading 4 Char"/>
    <w:basedOn w:val="DefaultParagraphFont"/>
    <w:link w:val="Heading4"/>
    <w:uiPriority w:val="9"/>
    <w:rsid w:val="00CD4C51"/>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726A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6AFF"/>
    <w:rPr>
      <w:sz w:val="20"/>
      <w:szCs w:val="20"/>
    </w:rPr>
  </w:style>
  <w:style w:type="character" w:styleId="FootnoteReference">
    <w:name w:val="footnote reference"/>
    <w:basedOn w:val="DefaultParagraphFont"/>
    <w:uiPriority w:val="99"/>
    <w:semiHidden/>
    <w:unhideWhenUsed/>
    <w:rsid w:val="00726AFF"/>
    <w:rPr>
      <w:vertAlign w:val="superscript"/>
    </w:rPr>
  </w:style>
  <w:style w:type="character" w:styleId="CommentReference">
    <w:name w:val="annotation reference"/>
    <w:basedOn w:val="DefaultParagraphFont"/>
    <w:uiPriority w:val="99"/>
    <w:semiHidden/>
    <w:unhideWhenUsed/>
    <w:rsid w:val="00EC2B3B"/>
    <w:rPr>
      <w:sz w:val="16"/>
      <w:szCs w:val="16"/>
    </w:rPr>
  </w:style>
  <w:style w:type="paragraph" w:styleId="CommentText">
    <w:name w:val="annotation text"/>
    <w:basedOn w:val="Normal"/>
    <w:link w:val="CommentTextChar"/>
    <w:uiPriority w:val="99"/>
    <w:semiHidden/>
    <w:unhideWhenUsed/>
    <w:rsid w:val="00EC2B3B"/>
    <w:pPr>
      <w:spacing w:line="240" w:lineRule="auto"/>
    </w:pPr>
    <w:rPr>
      <w:sz w:val="20"/>
      <w:szCs w:val="20"/>
    </w:rPr>
  </w:style>
  <w:style w:type="character" w:customStyle="1" w:styleId="CommentTextChar">
    <w:name w:val="Comment Text Char"/>
    <w:basedOn w:val="DefaultParagraphFont"/>
    <w:link w:val="CommentText"/>
    <w:uiPriority w:val="99"/>
    <w:semiHidden/>
    <w:rsid w:val="00EC2B3B"/>
    <w:rPr>
      <w:sz w:val="20"/>
      <w:szCs w:val="20"/>
    </w:rPr>
  </w:style>
  <w:style w:type="paragraph" w:styleId="CommentSubject">
    <w:name w:val="annotation subject"/>
    <w:basedOn w:val="CommentText"/>
    <w:next w:val="CommentText"/>
    <w:link w:val="CommentSubjectChar"/>
    <w:uiPriority w:val="99"/>
    <w:semiHidden/>
    <w:unhideWhenUsed/>
    <w:rsid w:val="00EC2B3B"/>
    <w:rPr>
      <w:b/>
      <w:bCs/>
    </w:rPr>
  </w:style>
  <w:style w:type="character" w:customStyle="1" w:styleId="CommentSubjectChar">
    <w:name w:val="Comment Subject Char"/>
    <w:basedOn w:val="CommentTextChar"/>
    <w:link w:val="CommentSubject"/>
    <w:uiPriority w:val="99"/>
    <w:semiHidden/>
    <w:rsid w:val="00EC2B3B"/>
    <w:rPr>
      <w:b/>
      <w:bCs/>
      <w:sz w:val="20"/>
      <w:szCs w:val="20"/>
    </w:rPr>
  </w:style>
  <w:style w:type="table" w:styleId="TableGrid">
    <w:name w:val="Table Grid"/>
    <w:basedOn w:val="TableNormal"/>
    <w:rsid w:val="009855C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B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3B4B"/>
  </w:style>
  <w:style w:type="paragraph" w:styleId="Footer">
    <w:name w:val="footer"/>
    <w:basedOn w:val="Normal"/>
    <w:link w:val="FooterChar"/>
    <w:uiPriority w:val="99"/>
    <w:unhideWhenUsed/>
    <w:rsid w:val="00C73B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3B4B"/>
  </w:style>
  <w:style w:type="paragraph" w:styleId="ListParagraph">
    <w:name w:val="List Paragraph"/>
    <w:basedOn w:val="Normal"/>
    <w:uiPriority w:val="34"/>
    <w:qFormat/>
    <w:rsid w:val="0010301B"/>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6317">
      <w:bodyDiv w:val="1"/>
      <w:marLeft w:val="0"/>
      <w:marRight w:val="0"/>
      <w:marTop w:val="0"/>
      <w:marBottom w:val="0"/>
      <w:divBdr>
        <w:top w:val="none" w:sz="0" w:space="0" w:color="auto"/>
        <w:left w:val="none" w:sz="0" w:space="0" w:color="auto"/>
        <w:bottom w:val="none" w:sz="0" w:space="0" w:color="auto"/>
        <w:right w:val="none" w:sz="0" w:space="0" w:color="auto"/>
      </w:divBdr>
      <w:divsChild>
        <w:div w:id="1164131089">
          <w:marLeft w:val="432"/>
          <w:marRight w:val="0"/>
          <w:marTop w:val="0"/>
          <w:marBottom w:val="0"/>
          <w:divBdr>
            <w:top w:val="none" w:sz="0" w:space="0" w:color="auto"/>
            <w:left w:val="none" w:sz="0" w:space="0" w:color="auto"/>
            <w:bottom w:val="none" w:sz="0" w:space="0" w:color="auto"/>
            <w:right w:val="none" w:sz="0" w:space="0" w:color="auto"/>
          </w:divBdr>
        </w:div>
        <w:div w:id="1901742842">
          <w:marLeft w:val="936"/>
          <w:marRight w:val="0"/>
          <w:marTop w:val="0"/>
          <w:marBottom w:val="0"/>
          <w:divBdr>
            <w:top w:val="none" w:sz="0" w:space="0" w:color="auto"/>
            <w:left w:val="none" w:sz="0" w:space="0" w:color="auto"/>
            <w:bottom w:val="none" w:sz="0" w:space="0" w:color="auto"/>
            <w:right w:val="none" w:sz="0" w:space="0" w:color="auto"/>
          </w:divBdr>
        </w:div>
        <w:div w:id="1725716198">
          <w:marLeft w:val="936"/>
          <w:marRight w:val="0"/>
          <w:marTop w:val="0"/>
          <w:marBottom w:val="0"/>
          <w:divBdr>
            <w:top w:val="none" w:sz="0" w:space="0" w:color="auto"/>
            <w:left w:val="none" w:sz="0" w:space="0" w:color="auto"/>
            <w:bottom w:val="none" w:sz="0" w:space="0" w:color="auto"/>
            <w:right w:val="none" w:sz="0" w:space="0" w:color="auto"/>
          </w:divBdr>
        </w:div>
        <w:div w:id="240339700">
          <w:marLeft w:val="936"/>
          <w:marRight w:val="0"/>
          <w:marTop w:val="0"/>
          <w:marBottom w:val="0"/>
          <w:divBdr>
            <w:top w:val="none" w:sz="0" w:space="0" w:color="auto"/>
            <w:left w:val="none" w:sz="0" w:space="0" w:color="auto"/>
            <w:bottom w:val="none" w:sz="0" w:space="0" w:color="auto"/>
            <w:right w:val="none" w:sz="0" w:space="0" w:color="auto"/>
          </w:divBdr>
        </w:div>
      </w:divsChild>
    </w:div>
    <w:div w:id="347567881">
      <w:bodyDiv w:val="1"/>
      <w:marLeft w:val="0"/>
      <w:marRight w:val="0"/>
      <w:marTop w:val="0"/>
      <w:marBottom w:val="0"/>
      <w:divBdr>
        <w:top w:val="none" w:sz="0" w:space="0" w:color="auto"/>
        <w:left w:val="none" w:sz="0" w:space="0" w:color="auto"/>
        <w:bottom w:val="none" w:sz="0" w:space="0" w:color="auto"/>
        <w:right w:val="none" w:sz="0" w:space="0" w:color="auto"/>
      </w:divBdr>
    </w:div>
    <w:div w:id="358094955">
      <w:bodyDiv w:val="1"/>
      <w:marLeft w:val="0"/>
      <w:marRight w:val="0"/>
      <w:marTop w:val="0"/>
      <w:marBottom w:val="0"/>
      <w:divBdr>
        <w:top w:val="none" w:sz="0" w:space="0" w:color="auto"/>
        <w:left w:val="none" w:sz="0" w:space="0" w:color="auto"/>
        <w:bottom w:val="none" w:sz="0" w:space="0" w:color="auto"/>
        <w:right w:val="none" w:sz="0" w:space="0" w:color="auto"/>
      </w:divBdr>
      <w:divsChild>
        <w:div w:id="226185713">
          <w:marLeft w:val="432"/>
          <w:marRight w:val="0"/>
          <w:marTop w:val="0"/>
          <w:marBottom w:val="0"/>
          <w:divBdr>
            <w:top w:val="none" w:sz="0" w:space="0" w:color="auto"/>
            <w:left w:val="none" w:sz="0" w:space="0" w:color="auto"/>
            <w:bottom w:val="none" w:sz="0" w:space="0" w:color="auto"/>
            <w:right w:val="none" w:sz="0" w:space="0" w:color="auto"/>
          </w:divBdr>
        </w:div>
        <w:div w:id="966005889">
          <w:marLeft w:val="432"/>
          <w:marRight w:val="0"/>
          <w:marTop w:val="0"/>
          <w:marBottom w:val="0"/>
          <w:divBdr>
            <w:top w:val="none" w:sz="0" w:space="0" w:color="auto"/>
            <w:left w:val="none" w:sz="0" w:space="0" w:color="auto"/>
            <w:bottom w:val="none" w:sz="0" w:space="0" w:color="auto"/>
            <w:right w:val="none" w:sz="0" w:space="0" w:color="auto"/>
          </w:divBdr>
        </w:div>
      </w:divsChild>
    </w:div>
    <w:div w:id="722755211">
      <w:bodyDiv w:val="1"/>
      <w:marLeft w:val="0"/>
      <w:marRight w:val="0"/>
      <w:marTop w:val="0"/>
      <w:marBottom w:val="0"/>
      <w:divBdr>
        <w:top w:val="none" w:sz="0" w:space="0" w:color="auto"/>
        <w:left w:val="none" w:sz="0" w:space="0" w:color="auto"/>
        <w:bottom w:val="none" w:sz="0" w:space="0" w:color="auto"/>
        <w:right w:val="none" w:sz="0" w:space="0" w:color="auto"/>
      </w:divBdr>
      <w:divsChild>
        <w:div w:id="1030641580">
          <w:marLeft w:val="432"/>
          <w:marRight w:val="0"/>
          <w:marTop w:val="0"/>
          <w:marBottom w:val="0"/>
          <w:divBdr>
            <w:top w:val="none" w:sz="0" w:space="0" w:color="auto"/>
            <w:left w:val="none" w:sz="0" w:space="0" w:color="auto"/>
            <w:bottom w:val="none" w:sz="0" w:space="0" w:color="auto"/>
            <w:right w:val="none" w:sz="0" w:space="0" w:color="auto"/>
          </w:divBdr>
        </w:div>
        <w:div w:id="289433218">
          <w:marLeft w:val="432"/>
          <w:marRight w:val="0"/>
          <w:marTop w:val="0"/>
          <w:marBottom w:val="0"/>
          <w:divBdr>
            <w:top w:val="none" w:sz="0" w:space="0" w:color="auto"/>
            <w:left w:val="none" w:sz="0" w:space="0" w:color="auto"/>
            <w:bottom w:val="none" w:sz="0" w:space="0" w:color="auto"/>
            <w:right w:val="none" w:sz="0" w:space="0" w:color="auto"/>
          </w:divBdr>
        </w:div>
      </w:divsChild>
    </w:div>
    <w:div w:id="1271619661">
      <w:bodyDiv w:val="1"/>
      <w:marLeft w:val="0"/>
      <w:marRight w:val="0"/>
      <w:marTop w:val="0"/>
      <w:marBottom w:val="0"/>
      <w:divBdr>
        <w:top w:val="none" w:sz="0" w:space="0" w:color="auto"/>
        <w:left w:val="none" w:sz="0" w:space="0" w:color="auto"/>
        <w:bottom w:val="none" w:sz="0" w:space="0" w:color="auto"/>
        <w:right w:val="none" w:sz="0" w:space="0" w:color="auto"/>
      </w:divBdr>
      <w:divsChild>
        <w:div w:id="1173256395">
          <w:marLeft w:val="547"/>
          <w:marRight w:val="0"/>
          <w:marTop w:val="154"/>
          <w:marBottom w:val="0"/>
          <w:divBdr>
            <w:top w:val="none" w:sz="0" w:space="0" w:color="auto"/>
            <w:left w:val="none" w:sz="0" w:space="0" w:color="auto"/>
            <w:bottom w:val="none" w:sz="0" w:space="0" w:color="auto"/>
            <w:right w:val="none" w:sz="0" w:space="0" w:color="auto"/>
          </w:divBdr>
        </w:div>
        <w:div w:id="1147356225">
          <w:marLeft w:val="547"/>
          <w:marRight w:val="0"/>
          <w:marTop w:val="154"/>
          <w:marBottom w:val="0"/>
          <w:divBdr>
            <w:top w:val="none" w:sz="0" w:space="0" w:color="auto"/>
            <w:left w:val="none" w:sz="0" w:space="0" w:color="auto"/>
            <w:bottom w:val="none" w:sz="0" w:space="0" w:color="auto"/>
            <w:right w:val="none" w:sz="0" w:space="0" w:color="auto"/>
          </w:divBdr>
        </w:div>
        <w:div w:id="660737259">
          <w:marLeft w:val="547"/>
          <w:marRight w:val="0"/>
          <w:marTop w:val="154"/>
          <w:marBottom w:val="0"/>
          <w:divBdr>
            <w:top w:val="none" w:sz="0" w:space="0" w:color="auto"/>
            <w:left w:val="none" w:sz="0" w:space="0" w:color="auto"/>
            <w:bottom w:val="none" w:sz="0" w:space="0" w:color="auto"/>
            <w:right w:val="none" w:sz="0" w:space="0" w:color="auto"/>
          </w:divBdr>
        </w:div>
        <w:div w:id="350231025">
          <w:marLeft w:val="1166"/>
          <w:marRight w:val="0"/>
          <w:marTop w:val="134"/>
          <w:marBottom w:val="0"/>
          <w:divBdr>
            <w:top w:val="none" w:sz="0" w:space="0" w:color="auto"/>
            <w:left w:val="none" w:sz="0" w:space="0" w:color="auto"/>
            <w:bottom w:val="none" w:sz="0" w:space="0" w:color="auto"/>
            <w:right w:val="none" w:sz="0" w:space="0" w:color="auto"/>
          </w:divBdr>
        </w:div>
      </w:divsChild>
    </w:div>
    <w:div w:id="1610622868">
      <w:bodyDiv w:val="1"/>
      <w:marLeft w:val="0"/>
      <w:marRight w:val="0"/>
      <w:marTop w:val="0"/>
      <w:marBottom w:val="0"/>
      <w:divBdr>
        <w:top w:val="none" w:sz="0" w:space="0" w:color="auto"/>
        <w:left w:val="none" w:sz="0" w:space="0" w:color="auto"/>
        <w:bottom w:val="none" w:sz="0" w:space="0" w:color="auto"/>
        <w:right w:val="none" w:sz="0" w:space="0" w:color="auto"/>
      </w:divBdr>
      <w:divsChild>
        <w:div w:id="1461262010">
          <w:marLeft w:val="432"/>
          <w:marRight w:val="0"/>
          <w:marTop w:val="0"/>
          <w:marBottom w:val="0"/>
          <w:divBdr>
            <w:top w:val="none" w:sz="0" w:space="0" w:color="auto"/>
            <w:left w:val="none" w:sz="0" w:space="0" w:color="auto"/>
            <w:bottom w:val="none" w:sz="0" w:space="0" w:color="auto"/>
            <w:right w:val="none" w:sz="0" w:space="0" w:color="auto"/>
          </w:divBdr>
        </w:div>
      </w:divsChild>
    </w:div>
    <w:div w:id="1670254132">
      <w:bodyDiv w:val="1"/>
      <w:marLeft w:val="0"/>
      <w:marRight w:val="0"/>
      <w:marTop w:val="0"/>
      <w:marBottom w:val="0"/>
      <w:divBdr>
        <w:top w:val="none" w:sz="0" w:space="0" w:color="auto"/>
        <w:left w:val="none" w:sz="0" w:space="0" w:color="auto"/>
        <w:bottom w:val="none" w:sz="0" w:space="0" w:color="auto"/>
        <w:right w:val="none" w:sz="0" w:space="0" w:color="auto"/>
      </w:divBdr>
    </w:div>
    <w:div w:id="1958296545">
      <w:bodyDiv w:val="1"/>
      <w:marLeft w:val="0"/>
      <w:marRight w:val="0"/>
      <w:marTop w:val="0"/>
      <w:marBottom w:val="0"/>
      <w:divBdr>
        <w:top w:val="none" w:sz="0" w:space="0" w:color="auto"/>
        <w:left w:val="none" w:sz="0" w:space="0" w:color="auto"/>
        <w:bottom w:val="none" w:sz="0" w:space="0" w:color="auto"/>
        <w:right w:val="none" w:sz="0" w:space="0" w:color="auto"/>
      </w:divBdr>
      <w:divsChild>
        <w:div w:id="411388134">
          <w:marLeft w:val="547"/>
          <w:marRight w:val="0"/>
          <w:marTop w:val="154"/>
          <w:marBottom w:val="0"/>
          <w:divBdr>
            <w:top w:val="none" w:sz="0" w:space="0" w:color="auto"/>
            <w:left w:val="none" w:sz="0" w:space="0" w:color="auto"/>
            <w:bottom w:val="none" w:sz="0" w:space="0" w:color="auto"/>
            <w:right w:val="none" w:sz="0" w:space="0" w:color="auto"/>
          </w:divBdr>
        </w:div>
        <w:div w:id="1593468103">
          <w:marLeft w:val="1166"/>
          <w:marRight w:val="0"/>
          <w:marTop w:val="134"/>
          <w:marBottom w:val="0"/>
          <w:divBdr>
            <w:top w:val="none" w:sz="0" w:space="0" w:color="auto"/>
            <w:left w:val="none" w:sz="0" w:space="0" w:color="auto"/>
            <w:bottom w:val="none" w:sz="0" w:space="0" w:color="auto"/>
            <w:right w:val="none" w:sz="0" w:space="0" w:color="auto"/>
          </w:divBdr>
        </w:div>
        <w:div w:id="611596855">
          <w:marLeft w:val="1166"/>
          <w:marRight w:val="0"/>
          <w:marTop w:val="134"/>
          <w:marBottom w:val="0"/>
          <w:divBdr>
            <w:top w:val="none" w:sz="0" w:space="0" w:color="auto"/>
            <w:left w:val="none" w:sz="0" w:space="0" w:color="auto"/>
            <w:bottom w:val="none" w:sz="0" w:space="0" w:color="auto"/>
            <w:right w:val="none" w:sz="0" w:space="0" w:color="auto"/>
          </w:divBdr>
        </w:div>
        <w:div w:id="524484927">
          <w:marLeft w:val="547"/>
          <w:marRight w:val="0"/>
          <w:marTop w:val="154"/>
          <w:marBottom w:val="0"/>
          <w:divBdr>
            <w:top w:val="none" w:sz="0" w:space="0" w:color="auto"/>
            <w:left w:val="none" w:sz="0" w:space="0" w:color="auto"/>
            <w:bottom w:val="none" w:sz="0" w:space="0" w:color="auto"/>
            <w:right w:val="none" w:sz="0" w:space="0" w:color="auto"/>
          </w:divBdr>
        </w:div>
        <w:div w:id="943810035">
          <w:marLeft w:val="1166"/>
          <w:marRight w:val="0"/>
          <w:marTop w:val="134"/>
          <w:marBottom w:val="0"/>
          <w:divBdr>
            <w:top w:val="none" w:sz="0" w:space="0" w:color="auto"/>
            <w:left w:val="none" w:sz="0" w:space="0" w:color="auto"/>
            <w:bottom w:val="none" w:sz="0" w:space="0" w:color="auto"/>
            <w:right w:val="none" w:sz="0" w:space="0" w:color="auto"/>
          </w:divBdr>
        </w:div>
        <w:div w:id="1135758050">
          <w:marLeft w:val="1166"/>
          <w:marRight w:val="0"/>
          <w:marTop w:val="134"/>
          <w:marBottom w:val="0"/>
          <w:divBdr>
            <w:top w:val="none" w:sz="0" w:space="0" w:color="auto"/>
            <w:left w:val="none" w:sz="0" w:space="0" w:color="auto"/>
            <w:bottom w:val="none" w:sz="0" w:space="0" w:color="auto"/>
            <w:right w:val="none" w:sz="0" w:space="0" w:color="auto"/>
          </w:divBdr>
        </w:div>
        <w:div w:id="427777283">
          <w:marLeft w:val="547"/>
          <w:marRight w:val="0"/>
          <w:marTop w:val="154"/>
          <w:marBottom w:val="0"/>
          <w:divBdr>
            <w:top w:val="none" w:sz="0" w:space="0" w:color="auto"/>
            <w:left w:val="none" w:sz="0" w:space="0" w:color="auto"/>
            <w:bottom w:val="none" w:sz="0" w:space="0" w:color="auto"/>
            <w:right w:val="none" w:sz="0" w:space="0" w:color="auto"/>
          </w:divBdr>
        </w:div>
        <w:div w:id="1027022183">
          <w:marLeft w:val="1166"/>
          <w:marRight w:val="0"/>
          <w:marTop w:val="134"/>
          <w:marBottom w:val="0"/>
          <w:divBdr>
            <w:top w:val="none" w:sz="0" w:space="0" w:color="auto"/>
            <w:left w:val="none" w:sz="0" w:space="0" w:color="auto"/>
            <w:bottom w:val="none" w:sz="0" w:space="0" w:color="auto"/>
            <w:right w:val="none" w:sz="0" w:space="0" w:color="auto"/>
          </w:divBdr>
        </w:div>
        <w:div w:id="910043098">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7.png"/><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emf"/><Relationship Id="rId25" Type="http://schemas.openxmlformats.org/officeDocument/2006/relationships/image" Target="media/image12.wmf"/><Relationship Id="rId33"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png"/><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oleObject" Target="embeddings/oleObject12.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8.png"/><Relationship Id="rId31" Type="http://schemas.openxmlformats.org/officeDocument/2006/relationships/oleObject" Target="embeddings/oleObject1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wmf"/><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8F95B-A86A-4475-B92F-97360EB0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2070</Words>
  <Characters>11804</Characters>
  <Application>Microsoft Office Word</Application>
  <DocSecurity>0</DocSecurity>
  <Lines>98</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CBS</Company>
  <LinksUpToDate>false</LinksUpToDate>
  <CharactersWithSpaces>13847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Luiten, Dr. A.</dc:creator>
  <cp:lastModifiedBy>Joop</cp:lastModifiedBy>
  <cp:revision>8</cp:revision>
  <cp:lastPrinted>2017-08-17T08:57:00Z</cp:lastPrinted>
  <dcterms:created xsi:type="dcterms:W3CDTF">2017-08-14T09:19:00Z</dcterms:created>
  <dcterms:modified xsi:type="dcterms:W3CDTF">2017-08-18T11:05:00Z</dcterms:modified>
</cp:coreProperties>
</file>