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94044" w14:textId="0A2A6E43" w:rsidR="00EE61FA" w:rsidRDefault="00746345" w:rsidP="00746345">
      <w:pPr>
        <w:spacing w:after="0"/>
        <w:jc w:val="center"/>
        <w:rPr>
          <w:b/>
        </w:rPr>
      </w:pPr>
      <w:r>
        <w:rPr>
          <w:b/>
        </w:rPr>
        <w:t>A framework for understanding the process of gaining web survey response using only postal contact</w:t>
      </w:r>
      <w:r w:rsidR="004E4CCA" w:rsidRPr="004E4CCA">
        <w:rPr>
          <w:b/>
        </w:rPr>
        <w:t xml:space="preserve"> </w:t>
      </w:r>
    </w:p>
    <w:p w14:paraId="3A3D6A02" w14:textId="595CBFEF" w:rsidR="007954B5" w:rsidRDefault="00581B9B" w:rsidP="00007937">
      <w:pPr>
        <w:spacing w:after="0"/>
        <w:jc w:val="center"/>
        <w:rPr>
          <w:b/>
        </w:rPr>
      </w:pPr>
      <w:r>
        <w:rPr>
          <w:b/>
        </w:rPr>
        <w:t>Gerry Nicolaas</w:t>
      </w:r>
      <w:r w:rsidR="00746345">
        <w:rPr>
          <w:b/>
          <w:vertAlign w:val="superscript"/>
        </w:rPr>
        <w:t xml:space="preserve"> </w:t>
      </w:r>
      <w:r w:rsidR="007954B5">
        <w:rPr>
          <w:b/>
        </w:rPr>
        <w:t>&amp; Patten Smith</w:t>
      </w:r>
    </w:p>
    <w:p w14:paraId="4543630B" w14:textId="1C5029D6" w:rsidR="004E4CCA" w:rsidRPr="007954B5" w:rsidRDefault="007954B5" w:rsidP="00007937">
      <w:pPr>
        <w:spacing w:after="0"/>
        <w:jc w:val="center"/>
        <w:rPr>
          <w:b/>
          <w:sz w:val="20"/>
          <w:szCs w:val="20"/>
        </w:rPr>
      </w:pPr>
      <w:r w:rsidRPr="007954B5">
        <w:rPr>
          <w:b/>
          <w:sz w:val="20"/>
          <w:szCs w:val="20"/>
        </w:rPr>
        <w:t>Ipsos MORI, UK</w:t>
      </w:r>
    </w:p>
    <w:p w14:paraId="33458F96" w14:textId="77777777" w:rsidR="00746345" w:rsidRDefault="00746345" w:rsidP="004E4CCA">
      <w:pPr>
        <w:rPr>
          <w:sz w:val="18"/>
          <w:szCs w:val="18"/>
        </w:rPr>
      </w:pPr>
    </w:p>
    <w:p w14:paraId="7B2DB77C" w14:textId="77777777" w:rsidR="003B4DDC" w:rsidRDefault="003B4DDC" w:rsidP="00746345">
      <w:pPr>
        <w:rPr>
          <w:b/>
        </w:rPr>
      </w:pPr>
    </w:p>
    <w:p w14:paraId="6C077BCD" w14:textId="394730F3" w:rsidR="00746345" w:rsidRDefault="00746345" w:rsidP="00746345">
      <w:pPr>
        <w:rPr>
          <w:b/>
        </w:rPr>
      </w:pPr>
      <w:r>
        <w:rPr>
          <w:b/>
        </w:rPr>
        <w:t>Background</w:t>
      </w:r>
    </w:p>
    <w:p w14:paraId="4D9004EE" w14:textId="54F1FC85" w:rsidR="00B7722B" w:rsidRDefault="00B7722B" w:rsidP="00746345">
      <w:r>
        <w:t xml:space="preserve">Similar to what has been observed elsewhere, we are witnessing an increase in the use of push-to-web surveys in the UK for official statistics, including plans for the UK Labour Force Survey and the </w:t>
      </w:r>
      <w:r w:rsidR="001A74B7">
        <w:t>UK Census in 2021.</w:t>
      </w:r>
    </w:p>
    <w:p w14:paraId="6B8C1487" w14:textId="71A5005F" w:rsidR="00815447" w:rsidRDefault="00D22A12" w:rsidP="00D22A12">
      <w:r>
        <w:t>Initially the r</w:t>
      </w:r>
      <w:r w:rsidR="001A74B7">
        <w:t>esponse rates for push-to-web</w:t>
      </w:r>
      <w:r w:rsidR="00F02FFE">
        <w:t xml:space="preserve"> survey designs in the UK were </w:t>
      </w:r>
      <w:r w:rsidR="001A74B7">
        <w:t>promising. Experiments with</w:t>
      </w:r>
      <w:r w:rsidR="00815447">
        <w:t xml:space="preserve"> this design</w:t>
      </w:r>
      <w:r w:rsidR="001A74B7">
        <w:t xml:space="preserve"> on the Community Life Survey </w:t>
      </w:r>
      <w:r w:rsidR="00C74D07">
        <w:t>(UK Cabinet Office)</w:t>
      </w:r>
      <w:r w:rsidR="00F02FFE">
        <w:rPr>
          <w:rStyle w:val="FootnoteReference"/>
        </w:rPr>
        <w:footnoteReference w:id="1"/>
      </w:r>
      <w:r w:rsidR="00C74D07">
        <w:t xml:space="preserve"> </w:t>
      </w:r>
      <w:r w:rsidR="001A74B7">
        <w:t>and the UK European Social Survey</w:t>
      </w:r>
      <w:r w:rsidR="00F02FFE">
        <w:rPr>
          <w:rStyle w:val="FootnoteReference"/>
        </w:rPr>
        <w:footnoteReference w:id="2"/>
      </w:r>
      <w:r w:rsidR="001A74B7">
        <w:t xml:space="preserve"> suggested that online response rates of 25% were feasible with the option of increasing the overall response rate further by offering an alternative data collection mode to web non-respondents. Since then, however, the </w:t>
      </w:r>
      <w:r w:rsidR="00B36B28">
        <w:t xml:space="preserve">UK survey </w:t>
      </w:r>
      <w:r w:rsidR="001A74B7">
        <w:t>industry has struggled to achieve this level of online response</w:t>
      </w:r>
      <w:r w:rsidR="00B36B28">
        <w:t xml:space="preserve">. </w:t>
      </w:r>
      <w:r w:rsidR="00C74D07">
        <w:t>For example, the Active Lives Survey (Sport England) achieves an overall response rate of about 19% compared to 31% for the Community Life Survey with a si</w:t>
      </w:r>
      <w:r w:rsidR="00590E2E">
        <w:t xml:space="preserve">milar design; </w:t>
      </w:r>
      <w:r w:rsidR="00C74D07">
        <w:t xml:space="preserve">i.e. address-based, 3 mailings, </w:t>
      </w:r>
      <w:r w:rsidR="00590E2E">
        <w:t>£5 conditional incentive, and a postal option among online non-responders</w:t>
      </w:r>
      <w:r w:rsidR="00C74D07">
        <w:t xml:space="preserve">. </w:t>
      </w:r>
      <w:r w:rsidR="00B36B28">
        <w:t>In his overview of push-to-web surveys carried out by Kantar Public in the UK, Williams</w:t>
      </w:r>
      <w:r>
        <w:rPr>
          <w:rStyle w:val="FootnoteReference"/>
        </w:rPr>
        <w:footnoteReference w:id="3"/>
      </w:r>
      <w:r>
        <w:t xml:space="preserve"> </w:t>
      </w:r>
      <w:r w:rsidR="00B36B28">
        <w:t xml:space="preserve">quoted response rates ranging from 9% to 24% (averaged across different experimental conditions). </w:t>
      </w:r>
      <w:r>
        <w:t>He concluded that the identity of the sponsor and/or topic of the survey, appears to make a significant difference to the response rate.</w:t>
      </w:r>
      <w:r w:rsidR="0029565D">
        <w:t xml:space="preserve"> </w:t>
      </w:r>
      <w:r w:rsidR="00815447">
        <w:t>However, more evidence is needed to understand this wide variation in push-to-web response rates and to find methods for improving the online response rates.</w:t>
      </w:r>
    </w:p>
    <w:p w14:paraId="2383B9AB" w14:textId="5A9A0D7F" w:rsidR="0029565D" w:rsidRDefault="0029565D" w:rsidP="00D22A12">
      <w:r>
        <w:t xml:space="preserve">In this paper, we present a framework for understanding the process of gaining web survey response </w:t>
      </w:r>
      <w:r w:rsidR="00815447">
        <w:t xml:space="preserve">when </w:t>
      </w:r>
      <w:r w:rsidR="007832ED">
        <w:t xml:space="preserve">solely </w:t>
      </w:r>
      <w:r w:rsidR="00815447">
        <w:t>relying on</w:t>
      </w:r>
      <w:r>
        <w:t xml:space="preserve"> postal contact. We </w:t>
      </w:r>
      <w:r w:rsidR="008B7D4C">
        <w:t xml:space="preserve">initially </w:t>
      </w:r>
      <w:r>
        <w:t xml:space="preserve">developed this framework to support our discussions with </w:t>
      </w:r>
      <w:r w:rsidR="007832ED">
        <w:t>a client</w:t>
      </w:r>
      <w:r>
        <w:t xml:space="preserve"> about what we should focus on in our efforts to increase the response rate on </w:t>
      </w:r>
      <w:r w:rsidR="007832ED">
        <w:t>their push-to-web survey</w:t>
      </w:r>
      <w:r>
        <w:t xml:space="preserve">. </w:t>
      </w:r>
      <w:r w:rsidR="00815447">
        <w:t>However, it also proved useful for our colleagues working on push-to-web surveys, highlighting that there is no silver bullet for solving the non-response problem. Instead they need to focus o</w:t>
      </w:r>
      <w:r w:rsidR="00815447" w:rsidRPr="00746345">
        <w:t>n all stages of the process an</w:t>
      </w:r>
      <w:r w:rsidR="00815447">
        <w:t xml:space="preserve">d </w:t>
      </w:r>
      <w:r w:rsidR="000215D4">
        <w:t xml:space="preserve">the </w:t>
      </w:r>
      <w:r w:rsidR="00815447">
        <w:t>connectivity of these stages</w:t>
      </w:r>
      <w:bookmarkStart w:id="0" w:name="_Ref490417834"/>
      <w:r w:rsidR="00590E2E">
        <w:rPr>
          <w:rStyle w:val="FootnoteReference"/>
        </w:rPr>
        <w:footnoteReference w:id="4"/>
      </w:r>
      <w:bookmarkEnd w:id="0"/>
      <w:r w:rsidR="00815447">
        <w:t>.</w:t>
      </w:r>
    </w:p>
    <w:p w14:paraId="7A6CED5A" w14:textId="28D73BE9" w:rsidR="00815447" w:rsidRPr="00C10F80" w:rsidRDefault="008B7D4C" w:rsidP="00D22A12">
      <w:pPr>
        <w:rPr>
          <w:strike/>
        </w:rPr>
      </w:pPr>
      <w:r>
        <w:t>At this workshop, w</w:t>
      </w:r>
      <w:r w:rsidR="00815447">
        <w:t xml:space="preserve">e would like to explore with you whether this framework could also be used as a tool for summarising the existing evidence and identifying </w:t>
      </w:r>
      <w:r w:rsidR="000215D4">
        <w:t xml:space="preserve">gaps in our knowledge. </w:t>
      </w:r>
    </w:p>
    <w:p w14:paraId="26DD7075" w14:textId="77777777" w:rsidR="003B4DDC" w:rsidRDefault="003B4DDC" w:rsidP="007954B5">
      <w:pPr>
        <w:keepNext/>
        <w:rPr>
          <w:b/>
        </w:rPr>
      </w:pPr>
      <w:bookmarkStart w:id="1" w:name="_GoBack"/>
      <w:bookmarkEnd w:id="1"/>
    </w:p>
    <w:p w14:paraId="47BE37F3" w14:textId="3C83C9B1" w:rsidR="00DB26C2" w:rsidRPr="00DB26C2" w:rsidRDefault="007954B5" w:rsidP="007954B5">
      <w:pPr>
        <w:keepNext/>
        <w:rPr>
          <w:b/>
        </w:rPr>
      </w:pPr>
      <w:r>
        <w:rPr>
          <w:b/>
        </w:rPr>
        <w:t>The</w:t>
      </w:r>
      <w:r w:rsidR="00746345">
        <w:rPr>
          <w:b/>
        </w:rPr>
        <w:t xml:space="preserve"> framework </w:t>
      </w:r>
    </w:p>
    <w:p w14:paraId="4E016665" w14:textId="3B0A33DA" w:rsidR="00C10F80" w:rsidRDefault="00C10F80" w:rsidP="007954B5">
      <w:pPr>
        <w:keepNext/>
      </w:pPr>
      <w:r>
        <w:t>The framework is strongly influenced by the Tailored Design Method</w:t>
      </w:r>
      <w:r w:rsidR="007954B5">
        <w:t xml:space="preserve"> </w:t>
      </w:r>
      <w:r w:rsidR="00881981">
        <w:t>for implementing postal surveys</w:t>
      </w:r>
      <w:r w:rsidR="00881981">
        <w:rPr>
          <w:rStyle w:val="FootnoteReference"/>
        </w:rPr>
        <w:footnoteReference w:id="5"/>
      </w:r>
      <w:r w:rsidR="00881981">
        <w:t xml:space="preserve"> </w:t>
      </w:r>
      <w:r w:rsidR="007954B5">
        <w:t>and it has three key features:</w:t>
      </w:r>
    </w:p>
    <w:p w14:paraId="75DDC7EE" w14:textId="48A856E1" w:rsidR="007954B5" w:rsidRDefault="007954B5" w:rsidP="007954B5">
      <w:pPr>
        <w:pStyle w:val="ListParagraph"/>
        <w:numPr>
          <w:ilvl w:val="0"/>
          <w:numId w:val="13"/>
        </w:numPr>
      </w:pPr>
      <w:r>
        <w:t xml:space="preserve">It </w:t>
      </w:r>
      <w:r w:rsidR="000D0ABE">
        <w:t>take</w:t>
      </w:r>
      <w:r>
        <w:t>s the perspective of the target respondent;</w:t>
      </w:r>
    </w:p>
    <w:p w14:paraId="7FCD833F" w14:textId="744AD5C3" w:rsidR="007954B5" w:rsidRDefault="007954B5" w:rsidP="007954B5">
      <w:pPr>
        <w:pStyle w:val="ListParagraph"/>
        <w:numPr>
          <w:ilvl w:val="0"/>
          <w:numId w:val="13"/>
        </w:numPr>
      </w:pPr>
      <w:r>
        <w:t>It breaks down the survey response process into different stages of gaining cooperation;</w:t>
      </w:r>
    </w:p>
    <w:p w14:paraId="75F7994A" w14:textId="0299034E" w:rsidR="007954B5" w:rsidRDefault="007954B5" w:rsidP="007954B5">
      <w:pPr>
        <w:pStyle w:val="ListParagraph"/>
        <w:numPr>
          <w:ilvl w:val="0"/>
          <w:numId w:val="13"/>
        </w:numPr>
      </w:pPr>
      <w:r>
        <w:t>It focuses on survey design features that can be manipulated.</w:t>
      </w:r>
    </w:p>
    <w:p w14:paraId="43208AC6" w14:textId="77777777" w:rsidR="0099148E" w:rsidRDefault="0099148E" w:rsidP="0099148E"/>
    <w:p w14:paraId="7DB87DB2" w14:textId="1C3E4A32" w:rsidR="007954B5" w:rsidRDefault="007954B5" w:rsidP="00E725E5">
      <w:r>
        <w:rPr>
          <w:noProof/>
        </w:rPr>
        <w:drawing>
          <wp:inline distT="0" distB="0" distL="0" distR="0" wp14:anchorId="1CB11418" wp14:editId="1A115FCE">
            <wp:extent cx="5943600" cy="3317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317875"/>
                    </a:xfrm>
                    <a:prstGeom prst="rect">
                      <a:avLst/>
                    </a:prstGeom>
                  </pic:spPr>
                </pic:pic>
              </a:graphicData>
            </a:graphic>
          </wp:inline>
        </w:drawing>
      </w:r>
    </w:p>
    <w:p w14:paraId="59DCF144" w14:textId="1A6CF992" w:rsidR="00060B01" w:rsidRDefault="00060B01">
      <w:pPr>
        <w:rPr>
          <w:b/>
        </w:rPr>
      </w:pPr>
    </w:p>
    <w:p w14:paraId="519530F1" w14:textId="77777777" w:rsidR="007832ED" w:rsidRDefault="007832ED" w:rsidP="00E725E5">
      <w:pPr>
        <w:rPr>
          <w:b/>
        </w:rPr>
      </w:pPr>
    </w:p>
    <w:p w14:paraId="3DC38C3B" w14:textId="5C44AC5C" w:rsidR="007954B5" w:rsidRPr="0099148E" w:rsidRDefault="0099148E" w:rsidP="00E725E5">
      <w:pPr>
        <w:rPr>
          <w:b/>
        </w:rPr>
      </w:pPr>
      <w:r w:rsidRPr="0099148E">
        <w:rPr>
          <w:b/>
        </w:rPr>
        <w:t>Summarising the existing evidence and identifying gaps in our knowledge</w:t>
      </w:r>
    </w:p>
    <w:p w14:paraId="03C0FD68" w14:textId="77777777" w:rsidR="00060B01" w:rsidRDefault="00715EEB" w:rsidP="00060B01">
      <w:r>
        <w:t xml:space="preserve">We do not have the resources to conduct a proper review of the literature. However, for illustrative purposes only, we have used the framework to summarise our own knowledge of the literature and experience. </w:t>
      </w:r>
    </w:p>
    <w:p w14:paraId="648265AF" w14:textId="77777777" w:rsidR="007832ED" w:rsidRDefault="007832ED">
      <w:r>
        <w:br w:type="page"/>
      </w:r>
    </w:p>
    <w:p w14:paraId="5B81112E" w14:textId="00A5678E" w:rsidR="00881981" w:rsidRDefault="00881981" w:rsidP="00060B01">
      <w:r>
        <w:lastRenderedPageBreak/>
        <w:t xml:space="preserve">We are </w:t>
      </w:r>
      <w:proofErr w:type="gramStart"/>
      <w:r>
        <w:t>fairly confident</w:t>
      </w:r>
      <w:proofErr w:type="gramEnd"/>
      <w:r>
        <w:t xml:space="preserve"> that the following has a positive impact on push-to-web surveys (all other things being equal):</w:t>
      </w:r>
    </w:p>
    <w:tbl>
      <w:tblPr>
        <w:tblStyle w:val="TableGrid"/>
        <w:tblW w:w="0" w:type="auto"/>
        <w:tblLook w:val="04A0" w:firstRow="1" w:lastRow="0" w:firstColumn="1" w:lastColumn="0" w:noHBand="0" w:noVBand="1"/>
      </w:tblPr>
      <w:tblGrid>
        <w:gridCol w:w="3681"/>
        <w:gridCol w:w="5669"/>
      </w:tblGrid>
      <w:tr w:rsidR="00881981" w14:paraId="3BCD186A" w14:textId="77777777" w:rsidTr="00590E2E">
        <w:tc>
          <w:tcPr>
            <w:tcW w:w="3681" w:type="dxa"/>
          </w:tcPr>
          <w:p w14:paraId="28E554C5" w14:textId="77777777" w:rsidR="00881981" w:rsidRPr="00590E2E" w:rsidRDefault="00881981" w:rsidP="00590E2E">
            <w:pPr>
              <w:keepNext/>
              <w:keepLines/>
              <w:rPr>
                <w:b/>
              </w:rPr>
            </w:pPr>
            <w:r w:rsidRPr="00590E2E">
              <w:rPr>
                <w:b/>
              </w:rPr>
              <w:t>Motivated to open the mailing</w:t>
            </w:r>
          </w:p>
          <w:p w14:paraId="43ECB1A7" w14:textId="77777777" w:rsidR="00881981" w:rsidRPr="00590E2E" w:rsidRDefault="00881981" w:rsidP="00590E2E">
            <w:pPr>
              <w:keepNext/>
              <w:keepLines/>
              <w:rPr>
                <w:b/>
              </w:rPr>
            </w:pPr>
          </w:p>
          <w:p w14:paraId="4DAE7967" w14:textId="1689EA42" w:rsidR="00881981" w:rsidRPr="00590E2E" w:rsidRDefault="00881981" w:rsidP="00590E2E">
            <w:pPr>
              <w:keepNext/>
              <w:keepLines/>
              <w:rPr>
                <w:b/>
              </w:rPr>
            </w:pPr>
          </w:p>
        </w:tc>
        <w:tc>
          <w:tcPr>
            <w:tcW w:w="5669" w:type="dxa"/>
          </w:tcPr>
          <w:p w14:paraId="1A2E9219" w14:textId="2DD0D371" w:rsidR="00881981" w:rsidRDefault="00881981" w:rsidP="00590E2E">
            <w:pPr>
              <w:pStyle w:val="ListParagraph"/>
              <w:keepNext/>
              <w:keepLines/>
              <w:numPr>
                <w:ilvl w:val="0"/>
                <w:numId w:val="16"/>
              </w:numPr>
            </w:pPr>
            <w:r>
              <w:t>Personalisation when names are available</w:t>
            </w:r>
          </w:p>
          <w:p w14:paraId="64C738BB" w14:textId="77777777" w:rsidR="00881981" w:rsidRDefault="00881981" w:rsidP="00590E2E">
            <w:pPr>
              <w:pStyle w:val="ListParagraph"/>
              <w:keepNext/>
              <w:keepLines/>
              <w:numPr>
                <w:ilvl w:val="0"/>
                <w:numId w:val="16"/>
              </w:numPr>
            </w:pPr>
            <w:r>
              <w:t>Logos when using address-based samples without names</w:t>
            </w:r>
          </w:p>
          <w:p w14:paraId="39744022" w14:textId="255CEF0D" w:rsidR="00590E2E" w:rsidRDefault="00590E2E" w:rsidP="00590E2E">
            <w:pPr>
              <w:keepNext/>
              <w:keepLines/>
            </w:pPr>
          </w:p>
        </w:tc>
      </w:tr>
      <w:tr w:rsidR="00881981" w14:paraId="78F0C60B" w14:textId="77777777" w:rsidTr="00590E2E">
        <w:tc>
          <w:tcPr>
            <w:tcW w:w="3681" w:type="dxa"/>
          </w:tcPr>
          <w:p w14:paraId="526432B1" w14:textId="77777777" w:rsidR="00881981" w:rsidRPr="00590E2E" w:rsidRDefault="00881981" w:rsidP="00E725E5">
            <w:pPr>
              <w:rPr>
                <w:b/>
              </w:rPr>
            </w:pPr>
            <w:r w:rsidRPr="00590E2E">
              <w:rPr>
                <w:b/>
              </w:rPr>
              <w:t>Motivated to read the mailing</w:t>
            </w:r>
          </w:p>
          <w:p w14:paraId="4B274565" w14:textId="77777777" w:rsidR="00881981" w:rsidRPr="00590E2E" w:rsidRDefault="00881981" w:rsidP="00E725E5">
            <w:pPr>
              <w:rPr>
                <w:b/>
              </w:rPr>
            </w:pPr>
          </w:p>
          <w:p w14:paraId="108A98C6" w14:textId="7AC0A282" w:rsidR="00881981" w:rsidRPr="00590E2E" w:rsidRDefault="00881981" w:rsidP="00E725E5">
            <w:pPr>
              <w:rPr>
                <w:b/>
              </w:rPr>
            </w:pPr>
          </w:p>
        </w:tc>
        <w:tc>
          <w:tcPr>
            <w:tcW w:w="5669" w:type="dxa"/>
          </w:tcPr>
          <w:p w14:paraId="30138C0E" w14:textId="75CC5A12" w:rsidR="00881981" w:rsidRDefault="00590E2E" w:rsidP="00590E2E">
            <w:pPr>
              <w:pStyle w:val="ListParagraph"/>
              <w:numPr>
                <w:ilvl w:val="0"/>
                <w:numId w:val="16"/>
              </w:numPr>
            </w:pPr>
            <w:r>
              <w:t>Personalisation when names are available</w:t>
            </w:r>
          </w:p>
        </w:tc>
      </w:tr>
      <w:tr w:rsidR="00881981" w14:paraId="370FBE23" w14:textId="77777777" w:rsidTr="00590E2E">
        <w:tc>
          <w:tcPr>
            <w:tcW w:w="3681" w:type="dxa"/>
          </w:tcPr>
          <w:p w14:paraId="47EA8B18" w14:textId="59BF62E8" w:rsidR="00881981" w:rsidRPr="00590E2E" w:rsidRDefault="00881981" w:rsidP="00E725E5">
            <w:pPr>
              <w:rPr>
                <w:b/>
              </w:rPr>
            </w:pPr>
            <w:r w:rsidRPr="00590E2E">
              <w:rPr>
                <w:b/>
              </w:rPr>
              <w:t>Motivated to take part in the survey</w:t>
            </w:r>
          </w:p>
        </w:tc>
        <w:tc>
          <w:tcPr>
            <w:tcW w:w="5669" w:type="dxa"/>
          </w:tcPr>
          <w:p w14:paraId="7B1F6CC3" w14:textId="42FA0EF1" w:rsidR="00881981" w:rsidRDefault="00881981" w:rsidP="00590E2E">
            <w:pPr>
              <w:pStyle w:val="ListParagraph"/>
              <w:numPr>
                <w:ilvl w:val="0"/>
                <w:numId w:val="16"/>
              </w:numPr>
            </w:pPr>
            <w:r>
              <w:t>Incentives</w:t>
            </w:r>
          </w:p>
          <w:p w14:paraId="0450D0DA" w14:textId="77777777" w:rsidR="00881981" w:rsidRDefault="00881981" w:rsidP="00590E2E">
            <w:pPr>
              <w:pStyle w:val="ListParagraph"/>
              <w:numPr>
                <w:ilvl w:val="0"/>
                <w:numId w:val="16"/>
              </w:numPr>
            </w:pPr>
            <w:r>
              <w:t>Alternative mode for web non-respondents</w:t>
            </w:r>
          </w:p>
          <w:p w14:paraId="0BE6F9F4" w14:textId="44E0EF80" w:rsidR="00060B01" w:rsidRDefault="00060B01" w:rsidP="00060B01">
            <w:pPr>
              <w:pStyle w:val="ListParagraph"/>
              <w:ind w:left="170"/>
            </w:pPr>
          </w:p>
        </w:tc>
      </w:tr>
      <w:tr w:rsidR="00881981" w14:paraId="4C775130" w14:textId="77777777" w:rsidTr="00590E2E">
        <w:tc>
          <w:tcPr>
            <w:tcW w:w="3681" w:type="dxa"/>
          </w:tcPr>
          <w:p w14:paraId="4E42EC8E" w14:textId="77777777" w:rsidR="00881981" w:rsidRPr="00590E2E" w:rsidRDefault="00881981" w:rsidP="00E725E5">
            <w:pPr>
              <w:rPr>
                <w:b/>
              </w:rPr>
            </w:pPr>
            <w:r w:rsidRPr="00590E2E">
              <w:rPr>
                <w:b/>
              </w:rPr>
              <w:t xml:space="preserve">Motivated to go online </w:t>
            </w:r>
          </w:p>
          <w:p w14:paraId="3C1F9D68" w14:textId="77777777" w:rsidR="00590E2E" w:rsidRPr="00590E2E" w:rsidRDefault="00590E2E" w:rsidP="00E725E5">
            <w:pPr>
              <w:rPr>
                <w:b/>
              </w:rPr>
            </w:pPr>
          </w:p>
          <w:p w14:paraId="4132C4B5" w14:textId="4A871AE5" w:rsidR="00590E2E" w:rsidRPr="00590E2E" w:rsidRDefault="00590E2E" w:rsidP="00E725E5">
            <w:pPr>
              <w:rPr>
                <w:b/>
              </w:rPr>
            </w:pPr>
          </w:p>
        </w:tc>
        <w:tc>
          <w:tcPr>
            <w:tcW w:w="5669" w:type="dxa"/>
          </w:tcPr>
          <w:p w14:paraId="53B11B76" w14:textId="4975CF6D" w:rsidR="00881981" w:rsidRDefault="00881981" w:rsidP="00590E2E">
            <w:pPr>
              <w:pStyle w:val="ListParagraph"/>
              <w:numPr>
                <w:ilvl w:val="0"/>
                <w:numId w:val="16"/>
              </w:numPr>
            </w:pPr>
            <w:r>
              <w:t>Multiple access methods</w:t>
            </w:r>
          </w:p>
        </w:tc>
      </w:tr>
      <w:tr w:rsidR="00881981" w14:paraId="3847187F" w14:textId="77777777" w:rsidTr="00590E2E">
        <w:tc>
          <w:tcPr>
            <w:tcW w:w="3681" w:type="dxa"/>
          </w:tcPr>
          <w:p w14:paraId="187277AE" w14:textId="13E817C5" w:rsidR="00881981" w:rsidRPr="00590E2E" w:rsidRDefault="00881981" w:rsidP="00E725E5">
            <w:pPr>
              <w:rPr>
                <w:b/>
              </w:rPr>
            </w:pPr>
            <w:r w:rsidRPr="00590E2E">
              <w:rPr>
                <w:b/>
              </w:rPr>
              <w:t>Motivated to complete questionnaire</w:t>
            </w:r>
          </w:p>
        </w:tc>
        <w:tc>
          <w:tcPr>
            <w:tcW w:w="5669" w:type="dxa"/>
          </w:tcPr>
          <w:p w14:paraId="1B012227" w14:textId="551E1E2C" w:rsidR="00881981" w:rsidRDefault="00881981" w:rsidP="00590E2E">
            <w:pPr>
              <w:pStyle w:val="ListParagraph"/>
              <w:numPr>
                <w:ilvl w:val="0"/>
                <w:numId w:val="16"/>
              </w:numPr>
            </w:pPr>
            <w:r>
              <w:t>Avoid complex question formats</w:t>
            </w:r>
          </w:p>
          <w:p w14:paraId="6DF689F5" w14:textId="5CB7316E" w:rsidR="00590E2E" w:rsidRDefault="00590E2E" w:rsidP="00590E2E">
            <w:pPr>
              <w:pStyle w:val="ListParagraph"/>
              <w:numPr>
                <w:ilvl w:val="0"/>
                <w:numId w:val="16"/>
              </w:numPr>
            </w:pPr>
            <w:r>
              <w:t>Avoid cognitively difficult questions</w:t>
            </w:r>
          </w:p>
          <w:p w14:paraId="7A660E7F" w14:textId="7472AA27" w:rsidR="00590E2E" w:rsidRDefault="00590E2E" w:rsidP="00E725E5"/>
        </w:tc>
      </w:tr>
      <w:tr w:rsidR="00060B01" w14:paraId="2D4C0E49" w14:textId="77777777" w:rsidTr="00590E2E">
        <w:tc>
          <w:tcPr>
            <w:tcW w:w="3681" w:type="dxa"/>
          </w:tcPr>
          <w:p w14:paraId="48F7C9A8" w14:textId="3B70A012" w:rsidR="00060B01" w:rsidRDefault="00060B01" w:rsidP="00E725E5">
            <w:pPr>
              <w:rPr>
                <w:b/>
              </w:rPr>
            </w:pPr>
            <w:r>
              <w:rPr>
                <w:b/>
              </w:rPr>
              <w:t>Optimal package of communications</w:t>
            </w:r>
          </w:p>
          <w:p w14:paraId="480253C9" w14:textId="77777777" w:rsidR="00060B01" w:rsidRDefault="00060B01" w:rsidP="00E725E5">
            <w:pPr>
              <w:rPr>
                <w:b/>
              </w:rPr>
            </w:pPr>
          </w:p>
          <w:p w14:paraId="083A8CBC" w14:textId="4EA917C9" w:rsidR="00060B01" w:rsidRPr="00590E2E" w:rsidRDefault="00060B01" w:rsidP="00E725E5">
            <w:pPr>
              <w:rPr>
                <w:b/>
              </w:rPr>
            </w:pPr>
          </w:p>
        </w:tc>
        <w:tc>
          <w:tcPr>
            <w:tcW w:w="5669" w:type="dxa"/>
          </w:tcPr>
          <w:p w14:paraId="4935BACC" w14:textId="08D32B44" w:rsidR="00060B01" w:rsidRDefault="00060B01" w:rsidP="00060B01">
            <w:pPr>
              <w:pStyle w:val="ListParagraph"/>
              <w:numPr>
                <w:ilvl w:val="0"/>
                <w:numId w:val="16"/>
              </w:numPr>
            </w:pPr>
            <w:r>
              <w:t>Multiple and varied contact attempts</w:t>
            </w:r>
          </w:p>
        </w:tc>
      </w:tr>
    </w:tbl>
    <w:p w14:paraId="63B4A0D0" w14:textId="6E193CFB" w:rsidR="00881981" w:rsidRDefault="00881981" w:rsidP="00E725E5"/>
    <w:p w14:paraId="59455EAC" w14:textId="303BD74F" w:rsidR="00590E2E" w:rsidRDefault="00590E2E" w:rsidP="00E725E5">
      <w:r>
        <w:t xml:space="preserve">Areas that lack evidence or </w:t>
      </w:r>
      <w:r w:rsidR="00060B01">
        <w:t>the evidence is mixed:</w:t>
      </w:r>
    </w:p>
    <w:tbl>
      <w:tblPr>
        <w:tblStyle w:val="TableGrid"/>
        <w:tblW w:w="0" w:type="auto"/>
        <w:tblLook w:val="04A0" w:firstRow="1" w:lastRow="0" w:firstColumn="1" w:lastColumn="0" w:noHBand="0" w:noVBand="1"/>
      </w:tblPr>
      <w:tblGrid>
        <w:gridCol w:w="3681"/>
        <w:gridCol w:w="5669"/>
      </w:tblGrid>
      <w:tr w:rsidR="00060B01" w14:paraId="138EB7D6" w14:textId="77777777" w:rsidTr="00D47292">
        <w:tc>
          <w:tcPr>
            <w:tcW w:w="3681" w:type="dxa"/>
          </w:tcPr>
          <w:p w14:paraId="408649D3" w14:textId="77777777" w:rsidR="00060B01" w:rsidRPr="00590E2E" w:rsidRDefault="00060B01" w:rsidP="00D47292">
            <w:pPr>
              <w:keepNext/>
              <w:keepLines/>
              <w:rPr>
                <w:b/>
              </w:rPr>
            </w:pPr>
            <w:r w:rsidRPr="00590E2E">
              <w:rPr>
                <w:b/>
              </w:rPr>
              <w:t>Motivated to open the mailing</w:t>
            </w:r>
          </w:p>
          <w:p w14:paraId="7ACB00B6" w14:textId="77777777" w:rsidR="00060B01" w:rsidRPr="00590E2E" w:rsidRDefault="00060B01" w:rsidP="00D47292">
            <w:pPr>
              <w:keepNext/>
              <w:keepLines/>
              <w:rPr>
                <w:b/>
              </w:rPr>
            </w:pPr>
          </w:p>
          <w:p w14:paraId="58E736E2" w14:textId="77777777" w:rsidR="00060B01" w:rsidRPr="00590E2E" w:rsidRDefault="00060B01" w:rsidP="00D47292">
            <w:pPr>
              <w:keepNext/>
              <w:keepLines/>
              <w:rPr>
                <w:b/>
              </w:rPr>
            </w:pPr>
          </w:p>
        </w:tc>
        <w:tc>
          <w:tcPr>
            <w:tcW w:w="5669" w:type="dxa"/>
          </w:tcPr>
          <w:p w14:paraId="36DCF7A7" w14:textId="47B1A9EA" w:rsidR="00060B01" w:rsidRDefault="00060B01" w:rsidP="005D4604">
            <w:pPr>
              <w:pStyle w:val="ListParagraph"/>
              <w:keepNext/>
              <w:keepLines/>
              <w:numPr>
                <w:ilvl w:val="0"/>
                <w:numId w:val="16"/>
              </w:numPr>
            </w:pPr>
            <w:r>
              <w:t>Type and appearance of mailing (particularly for unnamed samples)</w:t>
            </w:r>
          </w:p>
          <w:p w14:paraId="56158B52" w14:textId="77777777" w:rsidR="00060B01" w:rsidRDefault="00060B01" w:rsidP="00D47292">
            <w:pPr>
              <w:keepNext/>
              <w:keepLines/>
            </w:pPr>
          </w:p>
        </w:tc>
      </w:tr>
      <w:tr w:rsidR="00060B01" w14:paraId="2B50B694" w14:textId="77777777" w:rsidTr="00D47292">
        <w:tc>
          <w:tcPr>
            <w:tcW w:w="3681" w:type="dxa"/>
          </w:tcPr>
          <w:p w14:paraId="652F478F" w14:textId="77777777" w:rsidR="00060B01" w:rsidRPr="00590E2E" w:rsidRDefault="00060B01" w:rsidP="00D47292">
            <w:pPr>
              <w:rPr>
                <w:b/>
              </w:rPr>
            </w:pPr>
            <w:r w:rsidRPr="00590E2E">
              <w:rPr>
                <w:b/>
              </w:rPr>
              <w:t>Motivated to read the mailing</w:t>
            </w:r>
          </w:p>
          <w:p w14:paraId="61D92957" w14:textId="77777777" w:rsidR="00060B01" w:rsidRPr="00590E2E" w:rsidRDefault="00060B01" w:rsidP="00D47292">
            <w:pPr>
              <w:rPr>
                <w:b/>
              </w:rPr>
            </w:pPr>
          </w:p>
          <w:p w14:paraId="6313DA20" w14:textId="77777777" w:rsidR="00060B01" w:rsidRPr="00590E2E" w:rsidRDefault="00060B01" w:rsidP="00D47292">
            <w:pPr>
              <w:rPr>
                <w:b/>
              </w:rPr>
            </w:pPr>
          </w:p>
        </w:tc>
        <w:tc>
          <w:tcPr>
            <w:tcW w:w="5669" w:type="dxa"/>
          </w:tcPr>
          <w:p w14:paraId="0BA3F092" w14:textId="7FEB630D" w:rsidR="00060B01" w:rsidRDefault="00060B01" w:rsidP="00D47292">
            <w:pPr>
              <w:pStyle w:val="ListParagraph"/>
              <w:numPr>
                <w:ilvl w:val="0"/>
                <w:numId w:val="16"/>
              </w:numPr>
            </w:pPr>
            <w:r>
              <w:t xml:space="preserve">Visual design </w:t>
            </w:r>
            <w:r w:rsidR="007832ED">
              <w:t xml:space="preserve">and first impression </w:t>
            </w:r>
            <w:r>
              <w:t>of the letters</w:t>
            </w:r>
            <w:r w:rsidR="007832ED">
              <w:rPr>
                <w:rStyle w:val="FootnoteReference"/>
              </w:rPr>
              <w:footnoteReference w:id="6"/>
            </w:r>
          </w:p>
        </w:tc>
      </w:tr>
      <w:tr w:rsidR="00060B01" w14:paraId="42DE369C" w14:textId="77777777" w:rsidTr="00D47292">
        <w:tc>
          <w:tcPr>
            <w:tcW w:w="3681" w:type="dxa"/>
          </w:tcPr>
          <w:p w14:paraId="527925AE" w14:textId="77777777" w:rsidR="00060B01" w:rsidRPr="00590E2E" w:rsidRDefault="00060B01" w:rsidP="00D47292">
            <w:pPr>
              <w:rPr>
                <w:b/>
              </w:rPr>
            </w:pPr>
            <w:r w:rsidRPr="00590E2E">
              <w:rPr>
                <w:b/>
              </w:rPr>
              <w:t>Motivated to take part in the survey</w:t>
            </w:r>
          </w:p>
        </w:tc>
        <w:tc>
          <w:tcPr>
            <w:tcW w:w="5669" w:type="dxa"/>
          </w:tcPr>
          <w:p w14:paraId="0CA75CDB" w14:textId="4D56B693" w:rsidR="00060B01" w:rsidRDefault="00060B01" w:rsidP="00D47292">
            <w:pPr>
              <w:pStyle w:val="ListParagraph"/>
              <w:numPr>
                <w:ilvl w:val="0"/>
                <w:numId w:val="16"/>
              </w:numPr>
            </w:pPr>
            <w:r>
              <w:t>Which (combination of) persuasive messages?</w:t>
            </w:r>
          </w:p>
          <w:p w14:paraId="0BA1EC78" w14:textId="2609F781" w:rsidR="00060B01" w:rsidRDefault="00060B01" w:rsidP="00D47292">
            <w:pPr>
              <w:pStyle w:val="ListParagraph"/>
              <w:numPr>
                <w:ilvl w:val="0"/>
                <w:numId w:val="16"/>
              </w:numPr>
            </w:pPr>
            <w:r>
              <w:t>Type of i</w:t>
            </w:r>
            <w:r>
              <w:t>ncentives</w:t>
            </w:r>
            <w:r>
              <w:t xml:space="preserve"> (</w:t>
            </w:r>
            <w:r w:rsidR="007832ED">
              <w:t>considering</w:t>
            </w:r>
            <w:r>
              <w:t xml:space="preserve"> cost effectiveness)</w:t>
            </w:r>
            <w:bookmarkStart w:id="2" w:name="_Ref490427844"/>
            <w:r w:rsidR="003B4DDC">
              <w:rPr>
                <w:rStyle w:val="FootnoteReference"/>
              </w:rPr>
              <w:footnoteReference w:id="7"/>
            </w:r>
            <w:bookmarkEnd w:id="2"/>
          </w:p>
          <w:p w14:paraId="5DF95FD4" w14:textId="523C3697" w:rsidR="00060B01" w:rsidRDefault="00060B01" w:rsidP="00D47292">
            <w:pPr>
              <w:pStyle w:val="ListParagraph"/>
              <w:numPr>
                <w:ilvl w:val="0"/>
                <w:numId w:val="16"/>
              </w:numPr>
            </w:pPr>
            <w:r>
              <w:t>Respondent selection instructions for address samples</w:t>
            </w:r>
            <w:r w:rsidR="003B4DDC" w:rsidRPr="003B4DDC">
              <w:rPr>
                <w:vertAlign w:val="superscript"/>
              </w:rPr>
              <w:fldChar w:fldCharType="begin"/>
            </w:r>
            <w:r w:rsidR="003B4DDC" w:rsidRPr="003B4DDC">
              <w:rPr>
                <w:vertAlign w:val="superscript"/>
              </w:rPr>
              <w:instrText xml:space="preserve"> NOTEREF _Ref490427844 \h </w:instrText>
            </w:r>
            <w:r w:rsidR="003B4DDC" w:rsidRPr="003B4DDC">
              <w:rPr>
                <w:vertAlign w:val="superscript"/>
              </w:rPr>
            </w:r>
            <w:r w:rsidR="003B4DDC">
              <w:rPr>
                <w:vertAlign w:val="superscript"/>
              </w:rPr>
              <w:instrText xml:space="preserve"> \* MERGEFORMAT </w:instrText>
            </w:r>
            <w:r w:rsidR="003B4DDC" w:rsidRPr="003B4DDC">
              <w:rPr>
                <w:vertAlign w:val="superscript"/>
              </w:rPr>
              <w:fldChar w:fldCharType="separate"/>
            </w:r>
            <w:r w:rsidR="003B4DDC" w:rsidRPr="003B4DDC">
              <w:rPr>
                <w:vertAlign w:val="superscript"/>
              </w:rPr>
              <w:t>7</w:t>
            </w:r>
            <w:r w:rsidR="003B4DDC" w:rsidRPr="003B4DDC">
              <w:rPr>
                <w:vertAlign w:val="superscript"/>
              </w:rPr>
              <w:fldChar w:fldCharType="end"/>
            </w:r>
          </w:p>
        </w:tc>
      </w:tr>
      <w:tr w:rsidR="00060B01" w14:paraId="5A5E85D5" w14:textId="77777777" w:rsidTr="00D47292">
        <w:tc>
          <w:tcPr>
            <w:tcW w:w="3681" w:type="dxa"/>
          </w:tcPr>
          <w:p w14:paraId="61E1DC68" w14:textId="77777777" w:rsidR="00060B01" w:rsidRPr="00590E2E" w:rsidRDefault="00060B01" w:rsidP="00D47292">
            <w:pPr>
              <w:rPr>
                <w:b/>
              </w:rPr>
            </w:pPr>
            <w:r w:rsidRPr="00590E2E">
              <w:rPr>
                <w:b/>
              </w:rPr>
              <w:t xml:space="preserve">Motivated to go online </w:t>
            </w:r>
          </w:p>
          <w:p w14:paraId="30D1648A" w14:textId="77777777" w:rsidR="00060B01" w:rsidRPr="00590E2E" w:rsidRDefault="00060B01" w:rsidP="00D47292">
            <w:pPr>
              <w:rPr>
                <w:b/>
              </w:rPr>
            </w:pPr>
          </w:p>
          <w:p w14:paraId="6C0AC50B" w14:textId="77777777" w:rsidR="00060B01" w:rsidRPr="00590E2E" w:rsidRDefault="00060B01" w:rsidP="00D47292">
            <w:pPr>
              <w:rPr>
                <w:b/>
              </w:rPr>
            </w:pPr>
          </w:p>
        </w:tc>
        <w:tc>
          <w:tcPr>
            <w:tcW w:w="5669" w:type="dxa"/>
          </w:tcPr>
          <w:p w14:paraId="743618B3" w14:textId="4301AD1F" w:rsidR="00060B01" w:rsidRDefault="00060B01" w:rsidP="00D47292">
            <w:pPr>
              <w:pStyle w:val="ListParagraph"/>
              <w:numPr>
                <w:ilvl w:val="0"/>
                <w:numId w:val="16"/>
              </w:numPr>
            </w:pPr>
            <w:r>
              <w:t>Reducing the effort of moving from postal contact to online questionnaire completion</w:t>
            </w:r>
          </w:p>
        </w:tc>
      </w:tr>
      <w:tr w:rsidR="00060B01" w14:paraId="18A708AA" w14:textId="77777777" w:rsidTr="00D47292">
        <w:tc>
          <w:tcPr>
            <w:tcW w:w="3681" w:type="dxa"/>
          </w:tcPr>
          <w:p w14:paraId="09CC2707" w14:textId="77777777" w:rsidR="00060B01" w:rsidRDefault="00060B01" w:rsidP="00D47292">
            <w:pPr>
              <w:rPr>
                <w:b/>
              </w:rPr>
            </w:pPr>
            <w:r w:rsidRPr="00590E2E">
              <w:rPr>
                <w:b/>
              </w:rPr>
              <w:t>Motivated to complete questionnaire</w:t>
            </w:r>
          </w:p>
          <w:p w14:paraId="5E283256" w14:textId="77777777" w:rsidR="007832ED" w:rsidRDefault="007832ED" w:rsidP="00D47292">
            <w:pPr>
              <w:rPr>
                <w:b/>
              </w:rPr>
            </w:pPr>
          </w:p>
          <w:p w14:paraId="7741317D" w14:textId="271B5212" w:rsidR="007832ED" w:rsidRPr="00590E2E" w:rsidRDefault="007832ED" w:rsidP="00D47292">
            <w:pPr>
              <w:rPr>
                <w:b/>
              </w:rPr>
            </w:pPr>
          </w:p>
        </w:tc>
        <w:tc>
          <w:tcPr>
            <w:tcW w:w="5669" w:type="dxa"/>
          </w:tcPr>
          <w:p w14:paraId="247E343F" w14:textId="77777777" w:rsidR="00060B01" w:rsidRDefault="00060B01" w:rsidP="007832ED">
            <w:pPr>
              <w:pStyle w:val="ListParagraph"/>
              <w:ind w:left="170"/>
            </w:pPr>
          </w:p>
        </w:tc>
      </w:tr>
      <w:tr w:rsidR="00060B01" w14:paraId="51303B83" w14:textId="77777777" w:rsidTr="00D47292">
        <w:tc>
          <w:tcPr>
            <w:tcW w:w="3681" w:type="dxa"/>
          </w:tcPr>
          <w:p w14:paraId="24D08CE5" w14:textId="08CE468D" w:rsidR="00060B01" w:rsidRDefault="00060B01" w:rsidP="00D47292">
            <w:pPr>
              <w:rPr>
                <w:b/>
              </w:rPr>
            </w:pPr>
            <w:r>
              <w:rPr>
                <w:b/>
              </w:rPr>
              <w:t>Optimal package of communications</w:t>
            </w:r>
          </w:p>
          <w:p w14:paraId="2960F2C2" w14:textId="77777777" w:rsidR="00060B01" w:rsidRDefault="00060B01" w:rsidP="00D47292">
            <w:pPr>
              <w:rPr>
                <w:b/>
              </w:rPr>
            </w:pPr>
          </w:p>
          <w:p w14:paraId="04C443EF" w14:textId="1E7FD6D2" w:rsidR="00060B01" w:rsidRPr="00590E2E" w:rsidRDefault="00060B01" w:rsidP="00D47292">
            <w:pPr>
              <w:rPr>
                <w:b/>
              </w:rPr>
            </w:pPr>
          </w:p>
        </w:tc>
        <w:tc>
          <w:tcPr>
            <w:tcW w:w="5669" w:type="dxa"/>
          </w:tcPr>
          <w:p w14:paraId="786EE410" w14:textId="4206C67B" w:rsidR="00060B01" w:rsidRDefault="00060B01" w:rsidP="00D47292">
            <w:pPr>
              <w:pStyle w:val="ListParagraph"/>
              <w:numPr>
                <w:ilvl w:val="0"/>
                <w:numId w:val="16"/>
              </w:numPr>
            </w:pPr>
            <w:r>
              <w:t>The operational connectivity among the different stages of gaining cooperation (</w:t>
            </w:r>
            <w:proofErr w:type="spellStart"/>
            <w:r>
              <w:t>Dillman</w:t>
            </w:r>
            <w:proofErr w:type="spellEnd"/>
            <w:r>
              <w:t>, ESRA 2017)</w:t>
            </w:r>
            <w:r w:rsidRPr="00060B01">
              <w:rPr>
                <w:vertAlign w:val="superscript"/>
              </w:rPr>
              <w:fldChar w:fldCharType="begin"/>
            </w:r>
            <w:r w:rsidRPr="00060B01">
              <w:rPr>
                <w:vertAlign w:val="superscript"/>
              </w:rPr>
              <w:instrText xml:space="preserve"> NOTEREF _Ref490417834 \h </w:instrText>
            </w:r>
            <w:r w:rsidRPr="00060B01">
              <w:rPr>
                <w:vertAlign w:val="superscript"/>
              </w:rPr>
            </w:r>
            <w:r>
              <w:rPr>
                <w:vertAlign w:val="superscript"/>
              </w:rPr>
              <w:instrText xml:space="preserve"> \* MERGEFORMAT </w:instrText>
            </w:r>
            <w:r w:rsidRPr="00060B01">
              <w:rPr>
                <w:vertAlign w:val="superscript"/>
              </w:rPr>
              <w:fldChar w:fldCharType="separate"/>
            </w:r>
            <w:r w:rsidRPr="00060B01">
              <w:rPr>
                <w:vertAlign w:val="superscript"/>
              </w:rPr>
              <w:t>4</w:t>
            </w:r>
            <w:r w:rsidRPr="00060B01">
              <w:rPr>
                <w:vertAlign w:val="superscript"/>
              </w:rPr>
              <w:fldChar w:fldCharType="end"/>
            </w:r>
          </w:p>
        </w:tc>
      </w:tr>
    </w:tbl>
    <w:p w14:paraId="1797D2B6" w14:textId="46DB9F80" w:rsidR="00DB26C2" w:rsidRPr="00DB26C2" w:rsidRDefault="00DB26C2" w:rsidP="00060B01">
      <w:pPr>
        <w:rPr>
          <w:b/>
        </w:rPr>
      </w:pPr>
      <w:r>
        <w:rPr>
          <w:b/>
        </w:rPr>
        <w:lastRenderedPageBreak/>
        <w:t>Questions for discussion</w:t>
      </w:r>
    </w:p>
    <w:p w14:paraId="1E0641A5" w14:textId="4BC7030E" w:rsidR="00760FBA" w:rsidRDefault="007F2B23" w:rsidP="007F2B23">
      <w:pPr>
        <w:pStyle w:val="ListParagraph"/>
        <w:numPr>
          <w:ilvl w:val="0"/>
          <w:numId w:val="14"/>
        </w:numPr>
      </w:pPr>
      <w:r>
        <w:t>Is the framework comprehensive?</w:t>
      </w:r>
      <w:r w:rsidR="001419C9">
        <w:t xml:space="preserve"> Have we missed anything?</w:t>
      </w:r>
    </w:p>
    <w:p w14:paraId="0DBEE8D6" w14:textId="50965AB7" w:rsidR="007F2B23" w:rsidRDefault="001419C9" w:rsidP="007F2B23">
      <w:pPr>
        <w:pStyle w:val="ListParagraph"/>
        <w:numPr>
          <w:ilvl w:val="0"/>
          <w:numId w:val="14"/>
        </w:numPr>
      </w:pPr>
      <w:r>
        <w:t xml:space="preserve">Is it useful as a </w:t>
      </w:r>
      <w:r w:rsidRPr="003B4DDC">
        <w:rPr>
          <w:i/>
        </w:rPr>
        <w:t>practical</w:t>
      </w:r>
      <w:r>
        <w:t xml:space="preserve"> tool for maximising online survey response when relying on postal contact methods?</w:t>
      </w:r>
    </w:p>
    <w:p w14:paraId="08DFD5C7" w14:textId="77777777" w:rsidR="007832ED" w:rsidRPr="007832ED" w:rsidRDefault="001419C9" w:rsidP="00060B01">
      <w:pPr>
        <w:pStyle w:val="ListParagraph"/>
        <w:numPr>
          <w:ilvl w:val="0"/>
          <w:numId w:val="14"/>
        </w:numPr>
        <w:rPr>
          <w:i/>
        </w:rPr>
      </w:pPr>
      <w:r>
        <w:t>Is it a useful tool for summarising existing evidence, identifying gaps in knowledge, and prioritising further research?</w:t>
      </w:r>
      <w:r w:rsidR="00060B01">
        <w:t xml:space="preserve"> If so, </w:t>
      </w:r>
      <w:r w:rsidR="004504D5">
        <w:t>what is the next step</w:t>
      </w:r>
      <w:r w:rsidR="00060B01">
        <w:t>?</w:t>
      </w:r>
    </w:p>
    <w:p w14:paraId="445E58B6" w14:textId="23A69769" w:rsidR="002F6C79" w:rsidRPr="008B7D4C" w:rsidRDefault="003B4DDC" w:rsidP="00060B01">
      <w:pPr>
        <w:pStyle w:val="ListParagraph"/>
        <w:numPr>
          <w:ilvl w:val="0"/>
          <w:numId w:val="14"/>
        </w:numPr>
        <w:rPr>
          <w:i/>
        </w:rPr>
      </w:pPr>
      <w:r>
        <w:t xml:space="preserve">What are </w:t>
      </w:r>
      <w:r w:rsidR="007832ED">
        <w:t>the priorities for further research?</w:t>
      </w:r>
      <w:r w:rsidR="00060B01" w:rsidRPr="008B7D4C">
        <w:rPr>
          <w:i/>
        </w:rPr>
        <w:t xml:space="preserve"> </w:t>
      </w:r>
    </w:p>
    <w:sectPr w:rsidR="002F6C79" w:rsidRPr="008B7D4C" w:rsidSect="00060B01">
      <w:headerReference w:type="default" r:id="rId9"/>
      <w:footerReference w:type="default" r:id="rId10"/>
      <w:pgSz w:w="12240" w:h="15840"/>
      <w:pgMar w:top="1361" w:right="1440" w:bottom="136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D84D2" w14:textId="77777777" w:rsidR="00212249" w:rsidRDefault="00212249" w:rsidP="004E4CCA">
      <w:pPr>
        <w:spacing w:after="0" w:line="240" w:lineRule="auto"/>
      </w:pPr>
      <w:r>
        <w:separator/>
      </w:r>
    </w:p>
  </w:endnote>
  <w:endnote w:type="continuationSeparator" w:id="0">
    <w:p w14:paraId="41240203" w14:textId="77777777" w:rsidR="00212249" w:rsidRDefault="00212249" w:rsidP="004E4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9683486"/>
      <w:docPartObj>
        <w:docPartGallery w:val="Page Numbers (Bottom of Page)"/>
        <w:docPartUnique/>
      </w:docPartObj>
    </w:sdtPr>
    <w:sdtEndPr>
      <w:rPr>
        <w:noProof/>
      </w:rPr>
    </w:sdtEndPr>
    <w:sdtContent>
      <w:p w14:paraId="6F94BCBF" w14:textId="36D641F0" w:rsidR="00590E2E" w:rsidRDefault="00590E2E">
        <w:pPr>
          <w:pStyle w:val="Footer"/>
          <w:jc w:val="center"/>
        </w:pPr>
        <w:r>
          <w:fldChar w:fldCharType="begin"/>
        </w:r>
        <w:r>
          <w:instrText xml:space="preserve"> PAGE   \* MERGEFORMAT </w:instrText>
        </w:r>
        <w:r>
          <w:fldChar w:fldCharType="separate"/>
        </w:r>
        <w:r w:rsidR="003B4DDC">
          <w:rPr>
            <w:noProof/>
          </w:rPr>
          <w:t>4</w:t>
        </w:r>
        <w:r>
          <w:rPr>
            <w:noProof/>
          </w:rPr>
          <w:fldChar w:fldCharType="end"/>
        </w:r>
      </w:p>
    </w:sdtContent>
  </w:sdt>
  <w:p w14:paraId="0DC73E2F" w14:textId="77777777" w:rsidR="00590E2E" w:rsidRDefault="00590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13585" w14:textId="77777777" w:rsidR="00212249" w:rsidRDefault="00212249" w:rsidP="004E4CCA">
      <w:pPr>
        <w:spacing w:after="0" w:line="240" w:lineRule="auto"/>
      </w:pPr>
      <w:r>
        <w:separator/>
      </w:r>
    </w:p>
  </w:footnote>
  <w:footnote w:type="continuationSeparator" w:id="0">
    <w:p w14:paraId="33C8CCDB" w14:textId="77777777" w:rsidR="00212249" w:rsidRDefault="00212249" w:rsidP="004E4CCA">
      <w:pPr>
        <w:spacing w:after="0" w:line="240" w:lineRule="auto"/>
      </w:pPr>
      <w:r>
        <w:continuationSeparator/>
      </w:r>
    </w:p>
  </w:footnote>
  <w:footnote w:id="1">
    <w:p w14:paraId="434BF412" w14:textId="5BE8053F" w:rsidR="00590E2E" w:rsidRDefault="00590E2E">
      <w:pPr>
        <w:pStyle w:val="FootnoteText"/>
      </w:pPr>
      <w:r>
        <w:rPr>
          <w:rStyle w:val="FootnoteReference"/>
        </w:rPr>
        <w:footnoteRef/>
      </w:r>
      <w:r>
        <w:t xml:space="preserve"> TNS BMRB (2013). Community Life Survey: Summary of web experiment findings. A report for the UK Cabinet Office. </w:t>
      </w:r>
      <w:hyperlink r:id="rId1" w:history="1">
        <w:r w:rsidRPr="00266595">
          <w:rPr>
            <w:rStyle w:val="Hyperlink"/>
          </w:rPr>
          <w:t>https://www.gov.uk/government/uploads/system/uploads/attachment_data/file/325872/Annex_B_-_Summary_of_web_experiment_findings_2012-13.pdf</w:t>
        </w:r>
      </w:hyperlink>
      <w:r>
        <w:t xml:space="preserve"> </w:t>
      </w:r>
    </w:p>
  </w:footnote>
  <w:footnote w:id="2">
    <w:p w14:paraId="16CCA094" w14:textId="48959576" w:rsidR="00590E2E" w:rsidRDefault="00590E2E">
      <w:pPr>
        <w:pStyle w:val="FootnoteText"/>
      </w:pPr>
      <w:r>
        <w:rPr>
          <w:rStyle w:val="FootnoteReference"/>
        </w:rPr>
        <w:footnoteRef/>
      </w:r>
      <w:r>
        <w:t xml:space="preserve"> Humphrey, A. (2013). ESS Mixed Mode Experiment. Presentation given at the European Survey Research Association 2013 conference, 16-19 July 2013, Ljubljana, Slovenia. </w:t>
      </w:r>
      <w:hyperlink r:id="rId2" w:history="1">
        <w:r w:rsidRPr="00266595">
          <w:rPr>
            <w:rStyle w:val="Hyperlink"/>
          </w:rPr>
          <w:t>https://www.europeansurveyresearch.org/conference/programme?sess=89#506</w:t>
        </w:r>
      </w:hyperlink>
      <w:r>
        <w:t xml:space="preserve"> </w:t>
      </w:r>
    </w:p>
  </w:footnote>
  <w:footnote w:id="3">
    <w:p w14:paraId="4DD02096" w14:textId="3001B1A9" w:rsidR="00590E2E" w:rsidRDefault="00590E2E" w:rsidP="00D22A12">
      <w:pPr>
        <w:pStyle w:val="FootnoteText"/>
      </w:pPr>
      <w:r>
        <w:rPr>
          <w:rStyle w:val="FootnoteReference"/>
        </w:rPr>
        <w:footnoteRef/>
      </w:r>
      <w:r>
        <w:t xml:space="preserve"> Williams, J. (2017). An introduction to address-based online surveying. </w:t>
      </w:r>
      <w:r w:rsidRPr="00D22A12">
        <w:t>Social Research Practice</w:t>
      </w:r>
      <w:r>
        <w:t>,</w:t>
      </w:r>
      <w:r w:rsidRPr="00D22A12">
        <w:t xml:space="preserve"> Issue 3 Winter 2016/17</w:t>
      </w:r>
      <w:r>
        <w:t xml:space="preserve">, pp. 23-35. </w:t>
      </w:r>
      <w:hyperlink r:id="rId3" w:history="1">
        <w:r w:rsidRPr="00266595">
          <w:rPr>
            <w:rStyle w:val="Hyperlink"/>
          </w:rPr>
          <w:t>http://the-sra.org.uk/wp-content/uploads/social-research-practice-journal-issue-03-winter-2017.pdf</w:t>
        </w:r>
      </w:hyperlink>
      <w:r>
        <w:t xml:space="preserve"> </w:t>
      </w:r>
    </w:p>
  </w:footnote>
  <w:footnote w:id="4">
    <w:p w14:paraId="1F509235" w14:textId="2477AA50" w:rsidR="00590E2E" w:rsidRDefault="00590E2E" w:rsidP="00590E2E">
      <w:pPr>
        <w:pStyle w:val="FootnoteText"/>
      </w:pPr>
      <w:r>
        <w:rPr>
          <w:rStyle w:val="FootnoteReference"/>
        </w:rPr>
        <w:footnoteRef/>
      </w:r>
      <w:r>
        <w:t xml:space="preserve"> </w:t>
      </w:r>
      <w:proofErr w:type="spellStart"/>
      <w:r>
        <w:t>Dillman</w:t>
      </w:r>
      <w:proofErr w:type="spellEnd"/>
      <w:r>
        <w:t>, D.A. (2017). The worldwide increase in use of web-push methods that start with a mail contact; what have we learned and where might we be going? Presentation given at the European Survey Research Association 2017 conference, 18-21 July 2017, Lisbon, Portugal.</w:t>
      </w:r>
    </w:p>
  </w:footnote>
  <w:footnote w:id="5">
    <w:p w14:paraId="11740AD7" w14:textId="77777777" w:rsidR="00590E2E" w:rsidRDefault="00590E2E" w:rsidP="00881981">
      <w:pPr>
        <w:pStyle w:val="FootnoteText"/>
      </w:pPr>
      <w:r>
        <w:rPr>
          <w:rStyle w:val="FootnoteReference"/>
        </w:rPr>
        <w:footnoteRef/>
      </w:r>
      <w:r>
        <w:t xml:space="preserve"> </w:t>
      </w:r>
      <w:proofErr w:type="spellStart"/>
      <w:r>
        <w:t>Dillman</w:t>
      </w:r>
      <w:proofErr w:type="spellEnd"/>
      <w:r>
        <w:t>, D.A., Smyth, J.D., Christian, L.M</w:t>
      </w:r>
      <w:r w:rsidRPr="00C10F80">
        <w:t xml:space="preserve">. </w:t>
      </w:r>
      <w:r>
        <w:t>(</w:t>
      </w:r>
      <w:r w:rsidRPr="00C10F80">
        <w:t>2014</w:t>
      </w:r>
      <w:r>
        <w:t>)</w:t>
      </w:r>
      <w:r w:rsidRPr="00C10F80">
        <w:t>. Internet, Phone, Mail and Mixed-Mode Surveys: The Tailored Design Method, 4th edition. John Wiley: Hoboken, NJ</w:t>
      </w:r>
    </w:p>
  </w:footnote>
  <w:footnote w:id="6">
    <w:p w14:paraId="0443E163" w14:textId="38DC2848" w:rsidR="007832ED" w:rsidRDefault="007832ED">
      <w:pPr>
        <w:pStyle w:val="FootnoteText"/>
      </w:pPr>
      <w:r>
        <w:rPr>
          <w:rStyle w:val="FootnoteReference"/>
        </w:rPr>
        <w:footnoteRef/>
      </w:r>
      <w:r>
        <w:t xml:space="preserve"> We are presenting some of our work in this area at the workshop. See “An experimental of methods for increasing response rates in a push-to-web survey of sport participation”, Patten Smith. </w:t>
      </w:r>
    </w:p>
  </w:footnote>
  <w:footnote w:id="7">
    <w:p w14:paraId="6768DA7D" w14:textId="0DA0A06A" w:rsidR="003B4DDC" w:rsidRDefault="003B4DDC">
      <w:pPr>
        <w:pStyle w:val="FootnoteText"/>
      </w:pPr>
      <w:r>
        <w:rPr>
          <w:rStyle w:val="FootnoteReference"/>
        </w:rPr>
        <w:footnoteRef/>
      </w:r>
      <w:r>
        <w:t xml:space="preserve"> </w:t>
      </w:r>
      <w:r>
        <w:t>We are presenting some of our work in this area at the workshop. See</w:t>
      </w:r>
      <w:r>
        <w:t xml:space="preserve"> “The viability of a push-to-web survey design in 28 EU member states: the new Fundamental Rights Survey”, Gerry Nicolaas et 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1E85F" w14:textId="77777777" w:rsidR="00590E2E" w:rsidRDefault="00590E2E" w:rsidP="00007937">
    <w:pPr>
      <w:pStyle w:val="Header"/>
      <w:jc w:val="center"/>
    </w:pPr>
    <w:r>
      <w:t>International Workshop on Household Survey Nonresponse</w:t>
    </w:r>
  </w:p>
  <w:p w14:paraId="0CEC646C" w14:textId="77777777" w:rsidR="00590E2E" w:rsidRDefault="00590E2E" w:rsidP="00007937">
    <w:pPr>
      <w:pStyle w:val="Header"/>
      <w:jc w:val="center"/>
    </w:pPr>
    <w:r>
      <w:t>30 August – 1 September 2017, Utrecht, Netherlands</w:t>
    </w:r>
  </w:p>
  <w:p w14:paraId="63D549E4" w14:textId="77777777" w:rsidR="00590E2E" w:rsidRDefault="00590E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D48B3"/>
    <w:multiLevelType w:val="hybridMultilevel"/>
    <w:tmpl w:val="81DA1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0060B"/>
    <w:multiLevelType w:val="hybridMultilevel"/>
    <w:tmpl w:val="20885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F14E2"/>
    <w:multiLevelType w:val="hybridMultilevel"/>
    <w:tmpl w:val="A420FC7A"/>
    <w:lvl w:ilvl="0" w:tplc="E30CE030">
      <w:numFmt w:val="bullet"/>
      <w:lvlText w:val="-"/>
      <w:lvlJc w:val="left"/>
      <w:pPr>
        <w:ind w:left="170" w:hanging="170"/>
      </w:pPr>
      <w:rPr>
        <w:rFonts w:ascii="Calibri" w:eastAsiaTheme="minorHAns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E415F5"/>
    <w:multiLevelType w:val="hybridMultilevel"/>
    <w:tmpl w:val="371442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42ED7"/>
    <w:multiLevelType w:val="hybridMultilevel"/>
    <w:tmpl w:val="594AED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6A55C9"/>
    <w:multiLevelType w:val="hybridMultilevel"/>
    <w:tmpl w:val="AA587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F53195"/>
    <w:multiLevelType w:val="hybridMultilevel"/>
    <w:tmpl w:val="A540F4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C5733B"/>
    <w:multiLevelType w:val="hybridMultilevel"/>
    <w:tmpl w:val="F83CC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9451FE"/>
    <w:multiLevelType w:val="hybridMultilevel"/>
    <w:tmpl w:val="B058C8B2"/>
    <w:lvl w:ilvl="0" w:tplc="2402E6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5B3393"/>
    <w:multiLevelType w:val="hybridMultilevel"/>
    <w:tmpl w:val="FF364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4B7178"/>
    <w:multiLevelType w:val="hybridMultilevel"/>
    <w:tmpl w:val="D184570E"/>
    <w:lvl w:ilvl="0" w:tplc="53B0009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71B650F"/>
    <w:multiLevelType w:val="hybridMultilevel"/>
    <w:tmpl w:val="540EF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927806"/>
    <w:multiLevelType w:val="hybridMultilevel"/>
    <w:tmpl w:val="C58ACF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7A746B"/>
    <w:multiLevelType w:val="hybridMultilevel"/>
    <w:tmpl w:val="F6629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A07BCB"/>
    <w:multiLevelType w:val="hybridMultilevel"/>
    <w:tmpl w:val="EB1E6DCA"/>
    <w:lvl w:ilvl="0" w:tplc="08090001">
      <w:start w:val="1"/>
      <w:numFmt w:val="bullet"/>
      <w:lvlText w:val=""/>
      <w:lvlJc w:val="left"/>
      <w:pPr>
        <w:ind w:left="720" w:hanging="360"/>
      </w:pPr>
      <w:rPr>
        <w:rFonts w:ascii="Symbol" w:hAnsi="Symbol" w:hint="default"/>
      </w:rPr>
    </w:lvl>
    <w:lvl w:ilvl="1" w:tplc="0C2093F0">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2641EF"/>
    <w:multiLevelType w:val="hybridMultilevel"/>
    <w:tmpl w:val="44FCE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11"/>
  </w:num>
  <w:num w:numId="5">
    <w:abstractNumId w:val="5"/>
  </w:num>
  <w:num w:numId="6">
    <w:abstractNumId w:val="15"/>
  </w:num>
  <w:num w:numId="7">
    <w:abstractNumId w:val="8"/>
  </w:num>
  <w:num w:numId="8">
    <w:abstractNumId w:val="14"/>
  </w:num>
  <w:num w:numId="9">
    <w:abstractNumId w:val="13"/>
  </w:num>
  <w:num w:numId="10">
    <w:abstractNumId w:val="4"/>
  </w:num>
  <w:num w:numId="11">
    <w:abstractNumId w:val="9"/>
  </w:num>
  <w:num w:numId="12">
    <w:abstractNumId w:val="3"/>
  </w:num>
  <w:num w:numId="13">
    <w:abstractNumId w:val="6"/>
  </w:num>
  <w:num w:numId="14">
    <w:abstractNumId w:val="12"/>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CCA"/>
    <w:rsid w:val="00007937"/>
    <w:rsid w:val="000146EF"/>
    <w:rsid w:val="000215D4"/>
    <w:rsid w:val="00060B01"/>
    <w:rsid w:val="000627ED"/>
    <w:rsid w:val="000D0672"/>
    <w:rsid w:val="000D0ABE"/>
    <w:rsid w:val="000D447D"/>
    <w:rsid w:val="001419C9"/>
    <w:rsid w:val="00156B9B"/>
    <w:rsid w:val="001A0B20"/>
    <w:rsid w:val="001A74B7"/>
    <w:rsid w:val="001C491B"/>
    <w:rsid w:val="00212249"/>
    <w:rsid w:val="00222611"/>
    <w:rsid w:val="00231A06"/>
    <w:rsid w:val="00234064"/>
    <w:rsid w:val="00252820"/>
    <w:rsid w:val="00280ADA"/>
    <w:rsid w:val="0029565D"/>
    <w:rsid w:val="002B5BC1"/>
    <w:rsid w:val="002F6C79"/>
    <w:rsid w:val="0032335C"/>
    <w:rsid w:val="003337B1"/>
    <w:rsid w:val="0036497C"/>
    <w:rsid w:val="00377081"/>
    <w:rsid w:val="003A5C65"/>
    <w:rsid w:val="003B305C"/>
    <w:rsid w:val="003B4DDC"/>
    <w:rsid w:val="0040171B"/>
    <w:rsid w:val="00407A53"/>
    <w:rsid w:val="00433960"/>
    <w:rsid w:val="004374BE"/>
    <w:rsid w:val="0044301D"/>
    <w:rsid w:val="004504D5"/>
    <w:rsid w:val="00487B77"/>
    <w:rsid w:val="004C6F9D"/>
    <w:rsid w:val="004C76E6"/>
    <w:rsid w:val="004E4CCA"/>
    <w:rsid w:val="00534867"/>
    <w:rsid w:val="00537EA2"/>
    <w:rsid w:val="0054689F"/>
    <w:rsid w:val="00556857"/>
    <w:rsid w:val="00560C47"/>
    <w:rsid w:val="005701D1"/>
    <w:rsid w:val="00581B9B"/>
    <w:rsid w:val="00590E2E"/>
    <w:rsid w:val="005D20AF"/>
    <w:rsid w:val="00615B3B"/>
    <w:rsid w:val="00681AD9"/>
    <w:rsid w:val="00697399"/>
    <w:rsid w:val="006D14AA"/>
    <w:rsid w:val="006E34BF"/>
    <w:rsid w:val="006E3F62"/>
    <w:rsid w:val="00715EEB"/>
    <w:rsid w:val="00721320"/>
    <w:rsid w:val="00723F54"/>
    <w:rsid w:val="00746345"/>
    <w:rsid w:val="00760FBA"/>
    <w:rsid w:val="00781E6F"/>
    <w:rsid w:val="007832ED"/>
    <w:rsid w:val="00786332"/>
    <w:rsid w:val="007954B5"/>
    <w:rsid w:val="007A2392"/>
    <w:rsid w:val="007A4C59"/>
    <w:rsid w:val="007C24CF"/>
    <w:rsid w:val="007E0A55"/>
    <w:rsid w:val="007F2B23"/>
    <w:rsid w:val="00807446"/>
    <w:rsid w:val="00815447"/>
    <w:rsid w:val="00881981"/>
    <w:rsid w:val="00881B87"/>
    <w:rsid w:val="008B7D4C"/>
    <w:rsid w:val="008C08FF"/>
    <w:rsid w:val="008D531A"/>
    <w:rsid w:val="0092660C"/>
    <w:rsid w:val="0095568E"/>
    <w:rsid w:val="009841DA"/>
    <w:rsid w:val="0099148E"/>
    <w:rsid w:val="009A5C1A"/>
    <w:rsid w:val="009B07B2"/>
    <w:rsid w:val="009C4640"/>
    <w:rsid w:val="00A074A1"/>
    <w:rsid w:val="00A165F7"/>
    <w:rsid w:val="00A23CCF"/>
    <w:rsid w:val="00A379DC"/>
    <w:rsid w:val="00A64251"/>
    <w:rsid w:val="00A65EDA"/>
    <w:rsid w:val="00AA71FA"/>
    <w:rsid w:val="00B27E8C"/>
    <w:rsid w:val="00B36B28"/>
    <w:rsid w:val="00B36FBD"/>
    <w:rsid w:val="00B373C3"/>
    <w:rsid w:val="00B476CF"/>
    <w:rsid w:val="00B7722B"/>
    <w:rsid w:val="00B842A3"/>
    <w:rsid w:val="00BC1304"/>
    <w:rsid w:val="00BC68E8"/>
    <w:rsid w:val="00BD266F"/>
    <w:rsid w:val="00BE55CB"/>
    <w:rsid w:val="00BF1A55"/>
    <w:rsid w:val="00C0094A"/>
    <w:rsid w:val="00C10F80"/>
    <w:rsid w:val="00C57A83"/>
    <w:rsid w:val="00C74D07"/>
    <w:rsid w:val="00D22A12"/>
    <w:rsid w:val="00D36B19"/>
    <w:rsid w:val="00DB26C2"/>
    <w:rsid w:val="00DC1B97"/>
    <w:rsid w:val="00DE4BAA"/>
    <w:rsid w:val="00E23A95"/>
    <w:rsid w:val="00E41AC4"/>
    <w:rsid w:val="00E620A6"/>
    <w:rsid w:val="00E725E5"/>
    <w:rsid w:val="00EC5FB7"/>
    <w:rsid w:val="00EE61FA"/>
    <w:rsid w:val="00EF1A99"/>
    <w:rsid w:val="00F02FFE"/>
    <w:rsid w:val="00F40994"/>
    <w:rsid w:val="00F81679"/>
    <w:rsid w:val="00F86EBB"/>
    <w:rsid w:val="00FD2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5543"/>
  <w15:chartTrackingRefBased/>
  <w15:docId w15:val="{F512429E-756B-45E6-A998-5F394148A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Voetnoottekst Maarten,Footnote Text Char Char,o,DHFußn,Footnote text,Note de bas de page Car,fn,Char,IC Footnote Text,Fußnote, Char Char Car,Char Char Car,Fußnotentextf,Note de bas de page Car Car Car Car Car Car Car Car Car Car,ft,ftx"/>
    <w:basedOn w:val="Normal"/>
    <w:link w:val="FootnoteTextChar"/>
    <w:uiPriority w:val="99"/>
    <w:unhideWhenUsed/>
    <w:qFormat/>
    <w:rsid w:val="004E4CCA"/>
    <w:pPr>
      <w:spacing w:after="0" w:line="240" w:lineRule="auto"/>
    </w:pPr>
    <w:rPr>
      <w:sz w:val="20"/>
      <w:szCs w:val="20"/>
    </w:rPr>
  </w:style>
  <w:style w:type="character" w:customStyle="1" w:styleId="FootnoteTextChar">
    <w:name w:val="Footnote Text Char"/>
    <w:aliases w:val="Voetnoottekst Maarten Char,Footnote Text Char Char Char,o Char,DHFußn Char,Footnote text Char,Note de bas de page Car Char,fn Char,Char Char,IC Footnote Text Char,Fußnote Char, Char Char Car Char,Char Char Car Char,Fußnotentextf Char"/>
    <w:basedOn w:val="DefaultParagraphFont"/>
    <w:link w:val="FootnoteText"/>
    <w:uiPriority w:val="99"/>
    <w:rsid w:val="004E4CCA"/>
    <w:rPr>
      <w:sz w:val="20"/>
      <w:szCs w:val="20"/>
      <w:lang w:val="en-GB"/>
    </w:rPr>
  </w:style>
  <w:style w:type="character" w:styleId="FootnoteReference">
    <w:name w:val="footnote reference"/>
    <w:aliases w:val="Footnote symbol,footnote ref,FR,Fußnotenzeichen diss neu,Times 10 Point,Exposant 3 Point,Footnote,Voetnootverwijzing,FR + (Complex) Arial,(Latin) 9 pt,(Complex) 10 pt + (Compl...,Footnote Reference Superscript,Footnote Reference/"/>
    <w:basedOn w:val="DefaultParagraphFont"/>
    <w:uiPriority w:val="99"/>
    <w:unhideWhenUsed/>
    <w:qFormat/>
    <w:rsid w:val="004E4CCA"/>
    <w:rPr>
      <w:vertAlign w:val="superscript"/>
    </w:rPr>
  </w:style>
  <w:style w:type="paragraph" w:styleId="ListParagraph">
    <w:name w:val="List Paragraph"/>
    <w:basedOn w:val="Normal"/>
    <w:uiPriority w:val="34"/>
    <w:qFormat/>
    <w:rsid w:val="00DB26C2"/>
    <w:pPr>
      <w:ind w:left="720"/>
      <w:contextualSpacing/>
    </w:pPr>
  </w:style>
  <w:style w:type="character" w:styleId="CommentReference">
    <w:name w:val="annotation reference"/>
    <w:basedOn w:val="DefaultParagraphFont"/>
    <w:uiPriority w:val="99"/>
    <w:semiHidden/>
    <w:unhideWhenUsed/>
    <w:rsid w:val="00007937"/>
    <w:rPr>
      <w:sz w:val="16"/>
      <w:szCs w:val="16"/>
    </w:rPr>
  </w:style>
  <w:style w:type="paragraph" w:styleId="CommentText">
    <w:name w:val="annotation text"/>
    <w:basedOn w:val="Normal"/>
    <w:link w:val="CommentTextChar"/>
    <w:uiPriority w:val="99"/>
    <w:semiHidden/>
    <w:unhideWhenUsed/>
    <w:rsid w:val="00007937"/>
    <w:pPr>
      <w:spacing w:line="240" w:lineRule="auto"/>
    </w:pPr>
    <w:rPr>
      <w:sz w:val="20"/>
      <w:szCs w:val="20"/>
    </w:rPr>
  </w:style>
  <w:style w:type="character" w:customStyle="1" w:styleId="CommentTextChar">
    <w:name w:val="Comment Text Char"/>
    <w:basedOn w:val="DefaultParagraphFont"/>
    <w:link w:val="CommentText"/>
    <w:uiPriority w:val="99"/>
    <w:semiHidden/>
    <w:rsid w:val="00007937"/>
    <w:rPr>
      <w:sz w:val="20"/>
      <w:szCs w:val="20"/>
      <w:lang w:val="en-GB"/>
    </w:rPr>
  </w:style>
  <w:style w:type="paragraph" w:styleId="CommentSubject">
    <w:name w:val="annotation subject"/>
    <w:basedOn w:val="CommentText"/>
    <w:next w:val="CommentText"/>
    <w:link w:val="CommentSubjectChar"/>
    <w:uiPriority w:val="99"/>
    <w:semiHidden/>
    <w:unhideWhenUsed/>
    <w:rsid w:val="00007937"/>
    <w:rPr>
      <w:b/>
      <w:bCs/>
    </w:rPr>
  </w:style>
  <w:style w:type="character" w:customStyle="1" w:styleId="CommentSubjectChar">
    <w:name w:val="Comment Subject Char"/>
    <w:basedOn w:val="CommentTextChar"/>
    <w:link w:val="CommentSubject"/>
    <w:uiPriority w:val="99"/>
    <w:semiHidden/>
    <w:rsid w:val="00007937"/>
    <w:rPr>
      <w:b/>
      <w:bCs/>
      <w:sz w:val="20"/>
      <w:szCs w:val="20"/>
      <w:lang w:val="en-GB"/>
    </w:rPr>
  </w:style>
  <w:style w:type="paragraph" w:styleId="BalloonText">
    <w:name w:val="Balloon Text"/>
    <w:basedOn w:val="Normal"/>
    <w:link w:val="BalloonTextChar"/>
    <w:uiPriority w:val="99"/>
    <w:semiHidden/>
    <w:unhideWhenUsed/>
    <w:rsid w:val="000079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937"/>
    <w:rPr>
      <w:rFonts w:ascii="Segoe UI" w:hAnsi="Segoe UI" w:cs="Segoe UI"/>
      <w:sz w:val="18"/>
      <w:szCs w:val="18"/>
      <w:lang w:val="en-GB"/>
    </w:rPr>
  </w:style>
  <w:style w:type="paragraph" w:styleId="Header">
    <w:name w:val="header"/>
    <w:basedOn w:val="Normal"/>
    <w:link w:val="HeaderChar"/>
    <w:uiPriority w:val="99"/>
    <w:unhideWhenUsed/>
    <w:rsid w:val="00007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937"/>
    <w:rPr>
      <w:lang w:val="en-GB"/>
    </w:rPr>
  </w:style>
  <w:style w:type="paragraph" w:styleId="Footer">
    <w:name w:val="footer"/>
    <w:basedOn w:val="Normal"/>
    <w:link w:val="FooterChar"/>
    <w:uiPriority w:val="99"/>
    <w:unhideWhenUsed/>
    <w:rsid w:val="00007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937"/>
    <w:rPr>
      <w:lang w:val="en-GB"/>
    </w:rPr>
  </w:style>
  <w:style w:type="character" w:styleId="Hyperlink">
    <w:name w:val="Hyperlink"/>
    <w:basedOn w:val="DefaultParagraphFont"/>
    <w:uiPriority w:val="99"/>
    <w:unhideWhenUsed/>
    <w:rsid w:val="002F6C79"/>
    <w:rPr>
      <w:color w:val="0000FF"/>
      <w:u w:val="single"/>
    </w:rPr>
  </w:style>
  <w:style w:type="table" w:styleId="TableGrid">
    <w:name w:val="Table Grid"/>
    <w:basedOn w:val="TableNormal"/>
    <w:uiPriority w:val="39"/>
    <w:rsid w:val="00252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22A1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999988">
      <w:bodyDiv w:val="1"/>
      <w:marLeft w:val="0"/>
      <w:marRight w:val="0"/>
      <w:marTop w:val="0"/>
      <w:marBottom w:val="0"/>
      <w:divBdr>
        <w:top w:val="none" w:sz="0" w:space="0" w:color="auto"/>
        <w:left w:val="none" w:sz="0" w:space="0" w:color="auto"/>
        <w:bottom w:val="none" w:sz="0" w:space="0" w:color="auto"/>
        <w:right w:val="none" w:sz="0" w:space="0" w:color="auto"/>
      </w:divBdr>
      <w:divsChild>
        <w:div w:id="1196429685">
          <w:marLeft w:val="274"/>
          <w:marRight w:val="0"/>
          <w:marTop w:val="138"/>
          <w:marBottom w:val="0"/>
          <w:divBdr>
            <w:top w:val="none" w:sz="0" w:space="0" w:color="auto"/>
            <w:left w:val="none" w:sz="0" w:space="0" w:color="auto"/>
            <w:bottom w:val="none" w:sz="0" w:space="0" w:color="auto"/>
            <w:right w:val="none" w:sz="0" w:space="0" w:color="auto"/>
          </w:divBdr>
        </w:div>
        <w:div w:id="6294795">
          <w:marLeft w:val="274"/>
          <w:marRight w:val="0"/>
          <w:marTop w:val="138"/>
          <w:marBottom w:val="0"/>
          <w:divBdr>
            <w:top w:val="none" w:sz="0" w:space="0" w:color="auto"/>
            <w:left w:val="none" w:sz="0" w:space="0" w:color="auto"/>
            <w:bottom w:val="none" w:sz="0" w:space="0" w:color="auto"/>
            <w:right w:val="none" w:sz="0" w:space="0" w:color="auto"/>
          </w:divBdr>
        </w:div>
        <w:div w:id="1264530910">
          <w:marLeft w:val="835"/>
          <w:marRight w:val="0"/>
          <w:marTop w:val="138"/>
          <w:marBottom w:val="0"/>
          <w:divBdr>
            <w:top w:val="none" w:sz="0" w:space="0" w:color="auto"/>
            <w:left w:val="none" w:sz="0" w:space="0" w:color="auto"/>
            <w:bottom w:val="none" w:sz="0" w:space="0" w:color="auto"/>
            <w:right w:val="none" w:sz="0" w:space="0" w:color="auto"/>
          </w:divBdr>
        </w:div>
        <w:div w:id="469908370">
          <w:marLeft w:val="835"/>
          <w:marRight w:val="0"/>
          <w:marTop w:val="138"/>
          <w:marBottom w:val="0"/>
          <w:divBdr>
            <w:top w:val="none" w:sz="0" w:space="0" w:color="auto"/>
            <w:left w:val="none" w:sz="0" w:space="0" w:color="auto"/>
            <w:bottom w:val="none" w:sz="0" w:space="0" w:color="auto"/>
            <w:right w:val="none" w:sz="0" w:space="0" w:color="auto"/>
          </w:divBdr>
        </w:div>
        <w:div w:id="600340306">
          <w:marLeft w:val="835"/>
          <w:marRight w:val="0"/>
          <w:marTop w:val="138"/>
          <w:marBottom w:val="0"/>
          <w:divBdr>
            <w:top w:val="none" w:sz="0" w:space="0" w:color="auto"/>
            <w:left w:val="none" w:sz="0" w:space="0" w:color="auto"/>
            <w:bottom w:val="none" w:sz="0" w:space="0" w:color="auto"/>
            <w:right w:val="none" w:sz="0" w:space="0" w:color="auto"/>
          </w:divBdr>
        </w:div>
        <w:div w:id="1981692868">
          <w:marLeft w:val="274"/>
          <w:marRight w:val="0"/>
          <w:marTop w:val="138"/>
          <w:marBottom w:val="0"/>
          <w:divBdr>
            <w:top w:val="none" w:sz="0" w:space="0" w:color="auto"/>
            <w:left w:val="none" w:sz="0" w:space="0" w:color="auto"/>
            <w:bottom w:val="none" w:sz="0" w:space="0" w:color="auto"/>
            <w:right w:val="none" w:sz="0" w:space="0" w:color="auto"/>
          </w:divBdr>
        </w:div>
        <w:div w:id="29502055">
          <w:marLeft w:val="274"/>
          <w:marRight w:val="0"/>
          <w:marTop w:val="138"/>
          <w:marBottom w:val="0"/>
          <w:divBdr>
            <w:top w:val="none" w:sz="0" w:space="0" w:color="auto"/>
            <w:left w:val="none" w:sz="0" w:space="0" w:color="auto"/>
            <w:bottom w:val="none" w:sz="0" w:space="0" w:color="auto"/>
            <w:right w:val="none" w:sz="0" w:space="0" w:color="auto"/>
          </w:divBdr>
        </w:div>
        <w:div w:id="489635303">
          <w:marLeft w:val="274"/>
          <w:marRight w:val="0"/>
          <w:marTop w:val="138"/>
          <w:marBottom w:val="0"/>
          <w:divBdr>
            <w:top w:val="none" w:sz="0" w:space="0" w:color="auto"/>
            <w:left w:val="none" w:sz="0" w:space="0" w:color="auto"/>
            <w:bottom w:val="none" w:sz="0" w:space="0" w:color="auto"/>
            <w:right w:val="none" w:sz="0" w:space="0" w:color="auto"/>
          </w:divBdr>
        </w:div>
        <w:div w:id="1405493164">
          <w:marLeft w:val="274"/>
          <w:marRight w:val="0"/>
          <w:marTop w:val="138"/>
          <w:marBottom w:val="0"/>
          <w:divBdr>
            <w:top w:val="none" w:sz="0" w:space="0" w:color="auto"/>
            <w:left w:val="none" w:sz="0" w:space="0" w:color="auto"/>
            <w:bottom w:val="none" w:sz="0" w:space="0" w:color="auto"/>
            <w:right w:val="none" w:sz="0" w:space="0" w:color="auto"/>
          </w:divBdr>
        </w:div>
        <w:div w:id="96802838">
          <w:marLeft w:val="274"/>
          <w:marRight w:val="0"/>
          <w:marTop w:val="138"/>
          <w:marBottom w:val="0"/>
          <w:divBdr>
            <w:top w:val="none" w:sz="0" w:space="0" w:color="auto"/>
            <w:left w:val="none" w:sz="0" w:space="0" w:color="auto"/>
            <w:bottom w:val="none" w:sz="0" w:space="0" w:color="auto"/>
            <w:right w:val="none" w:sz="0" w:space="0" w:color="auto"/>
          </w:divBdr>
        </w:div>
      </w:divsChild>
    </w:div>
    <w:div w:id="1453867168">
      <w:bodyDiv w:val="1"/>
      <w:marLeft w:val="0"/>
      <w:marRight w:val="0"/>
      <w:marTop w:val="0"/>
      <w:marBottom w:val="0"/>
      <w:divBdr>
        <w:top w:val="none" w:sz="0" w:space="0" w:color="auto"/>
        <w:left w:val="none" w:sz="0" w:space="0" w:color="auto"/>
        <w:bottom w:val="none" w:sz="0" w:space="0" w:color="auto"/>
        <w:right w:val="none" w:sz="0" w:space="0" w:color="auto"/>
      </w:divBdr>
      <w:divsChild>
        <w:div w:id="691539365">
          <w:marLeft w:val="274"/>
          <w:marRight w:val="0"/>
          <w:marTop w:val="138"/>
          <w:marBottom w:val="0"/>
          <w:divBdr>
            <w:top w:val="none" w:sz="0" w:space="0" w:color="auto"/>
            <w:left w:val="none" w:sz="0" w:space="0" w:color="auto"/>
            <w:bottom w:val="none" w:sz="0" w:space="0" w:color="auto"/>
            <w:right w:val="none" w:sz="0" w:space="0" w:color="auto"/>
          </w:divBdr>
        </w:div>
        <w:div w:id="2027630624">
          <w:marLeft w:val="274"/>
          <w:marRight w:val="0"/>
          <w:marTop w:val="13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the-sra.org.uk/wp-content/uploads/social-research-practice-journal-issue-03-winter-2017.pdf" TargetMode="External"/><Relationship Id="rId2" Type="http://schemas.openxmlformats.org/officeDocument/2006/relationships/hyperlink" Target="https://www.europeansurveyresearch.org/conference/programme?sess=89#506" TargetMode="External"/><Relationship Id="rId1" Type="http://schemas.openxmlformats.org/officeDocument/2006/relationships/hyperlink" Target="https://www.gov.uk/government/uploads/system/uploads/attachment_data/file/325872/Annex_B_-_Summary_of_web_experiment_findings_2012-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EDA0E-24E9-4722-A633-F6CCC00E7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4</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Nicolaas</dc:creator>
  <cp:keywords/>
  <dc:description/>
  <cp:lastModifiedBy>Gerry Nicolaas</cp:lastModifiedBy>
  <cp:revision>10</cp:revision>
  <dcterms:created xsi:type="dcterms:W3CDTF">2017-08-13T15:10:00Z</dcterms:created>
  <dcterms:modified xsi:type="dcterms:W3CDTF">2017-08-13T21:50:00Z</dcterms:modified>
</cp:coreProperties>
</file>