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58011" w14:textId="0904CFCA" w:rsidR="003C2DAA" w:rsidRDefault="000C6E30" w:rsidP="001833A2">
      <w:pPr>
        <w:pStyle w:val="Titre1"/>
        <w:rPr>
          <w:lang w:val="en-CA"/>
        </w:rPr>
      </w:pPr>
      <w:r w:rsidRPr="00577892">
        <w:rPr>
          <w:lang w:val="en-CA"/>
        </w:rPr>
        <w:t xml:space="preserve">Strategies to </w:t>
      </w:r>
      <w:r w:rsidR="005A3734">
        <w:rPr>
          <w:lang w:val="en-CA"/>
        </w:rPr>
        <w:t>H</w:t>
      </w:r>
      <w:r w:rsidRPr="00577892">
        <w:rPr>
          <w:lang w:val="en-CA"/>
        </w:rPr>
        <w:t xml:space="preserve">andle </w:t>
      </w:r>
      <w:r w:rsidR="005A3734">
        <w:rPr>
          <w:lang w:val="en-CA"/>
        </w:rPr>
        <w:t>N</w:t>
      </w:r>
      <w:bookmarkStart w:id="0" w:name="_GoBack"/>
      <w:bookmarkEnd w:id="0"/>
      <w:r w:rsidRPr="00577892">
        <w:rPr>
          <w:lang w:val="en-CA"/>
        </w:rPr>
        <w:t>onresp</w:t>
      </w:r>
      <w:r w:rsidR="000C3D41" w:rsidRPr="00577892">
        <w:rPr>
          <w:lang w:val="en-CA"/>
        </w:rPr>
        <w:t>onse in the Canadian Community</w:t>
      </w:r>
      <w:r w:rsidRPr="00577892">
        <w:rPr>
          <w:lang w:val="en-CA"/>
        </w:rPr>
        <w:t xml:space="preserve"> Health Survey: Past, Present and Future</w:t>
      </w:r>
    </w:p>
    <w:p w14:paraId="018EC473" w14:textId="77777777" w:rsidR="00FA7660" w:rsidRPr="00FA7660" w:rsidRDefault="00FA7660" w:rsidP="00FA7660">
      <w:pPr>
        <w:rPr>
          <w:rStyle w:val="Emphaseple"/>
          <w:lang w:val="en-CA"/>
        </w:rPr>
      </w:pPr>
      <w:r>
        <w:rPr>
          <w:rStyle w:val="Emphaseple"/>
        </w:rPr>
        <w:t>José Gaudet</w:t>
      </w:r>
      <w:r>
        <w:rPr>
          <w:rStyle w:val="Appelnotedebasdep"/>
          <w:i/>
          <w:iCs/>
          <w:color w:val="404040" w:themeColor="text1" w:themeTint="BF"/>
        </w:rPr>
        <w:footnoteReference w:id="2"/>
      </w:r>
      <w:r>
        <w:rPr>
          <w:rStyle w:val="Emphaseple"/>
        </w:rPr>
        <w:t xml:space="preserve"> </w:t>
      </w:r>
    </w:p>
    <w:p w14:paraId="5D133310" w14:textId="77777777" w:rsidR="001833A2" w:rsidRPr="0093558B" w:rsidRDefault="001833A2" w:rsidP="001833A2">
      <w:pPr>
        <w:pStyle w:val="Titre2"/>
        <w:rPr>
          <w:lang w:val="en-CA"/>
        </w:rPr>
      </w:pPr>
      <w:r w:rsidRPr="0093558B">
        <w:rPr>
          <w:lang w:val="en-CA"/>
        </w:rPr>
        <w:t>Introduction</w:t>
      </w:r>
    </w:p>
    <w:p w14:paraId="449ACB00" w14:textId="77777777" w:rsidR="001833A2" w:rsidRDefault="001833A2" w:rsidP="001833A2">
      <w:pPr>
        <w:rPr>
          <w:lang w:val="en-CA"/>
        </w:rPr>
      </w:pPr>
      <w:r w:rsidRPr="00577892">
        <w:rPr>
          <w:lang w:val="en-CA"/>
        </w:rPr>
        <w:t xml:space="preserve">The Canadian Community Health Survey (CCHS) is a </w:t>
      </w:r>
      <w:r w:rsidR="002E0303">
        <w:rPr>
          <w:lang w:val="en-CA"/>
        </w:rPr>
        <w:t xml:space="preserve">Statistics Canada </w:t>
      </w:r>
      <w:r w:rsidRPr="00577892">
        <w:rPr>
          <w:lang w:val="en-CA"/>
        </w:rPr>
        <w:t>cross-sectional survey that collects information related to health status, health care utilization and health determinants for the Canadian population. It relies upon a large sample of respondents and is designed to provide reliable estimates at a regional level where the health system is managed</w:t>
      </w:r>
      <w:r w:rsidR="00FA7660">
        <w:rPr>
          <w:lang w:val="en-CA"/>
        </w:rPr>
        <w:t>, which is called the health region</w:t>
      </w:r>
      <w:r w:rsidRPr="00577892">
        <w:rPr>
          <w:lang w:val="en-CA"/>
        </w:rPr>
        <w:t>.</w:t>
      </w:r>
    </w:p>
    <w:p w14:paraId="016A8A4F" w14:textId="23839755" w:rsidR="00013471" w:rsidRPr="00577892" w:rsidRDefault="00246B42" w:rsidP="001833A2">
      <w:pPr>
        <w:rPr>
          <w:lang w:val="en-CA"/>
        </w:rPr>
      </w:pPr>
      <w:r>
        <w:rPr>
          <w:lang w:val="en-CA"/>
        </w:rPr>
        <w:t xml:space="preserve">The survey covers Canadians twelve years and older. </w:t>
      </w:r>
      <w:r w:rsidR="00592A8D">
        <w:rPr>
          <w:lang w:val="en-CA"/>
        </w:rPr>
        <w:t>C</w:t>
      </w:r>
      <w:r w:rsidR="00013471">
        <w:rPr>
          <w:lang w:val="en-CA"/>
        </w:rPr>
        <w:t xml:space="preserve">ollection for the CCHS is </w:t>
      </w:r>
      <w:r w:rsidR="00FA7660">
        <w:rPr>
          <w:lang w:val="en-CA"/>
        </w:rPr>
        <w:t>carried out in waves throughout the entire year</w:t>
      </w:r>
      <w:r w:rsidR="00013471">
        <w:rPr>
          <w:lang w:val="en-CA"/>
        </w:rPr>
        <w:t xml:space="preserve">. </w:t>
      </w:r>
      <w:r w:rsidR="00E423F8">
        <w:rPr>
          <w:lang w:val="en-CA"/>
        </w:rPr>
        <w:t>The interview has an average length of about 60 minutes.</w:t>
      </w:r>
      <w:r w:rsidR="00013471">
        <w:rPr>
          <w:lang w:val="en-CA"/>
        </w:rPr>
        <w:t xml:space="preserve"> </w:t>
      </w:r>
      <w:r w:rsidR="00290F29">
        <w:rPr>
          <w:lang w:val="en-CA"/>
        </w:rPr>
        <w:t xml:space="preserve">The </w:t>
      </w:r>
      <w:r w:rsidR="00E423F8">
        <w:rPr>
          <w:lang w:val="en-CA"/>
        </w:rPr>
        <w:t xml:space="preserve">CCHS also provides a way of </w:t>
      </w:r>
      <w:r w:rsidR="00290F29" w:rsidRPr="00290F29">
        <w:rPr>
          <w:lang w:val="en-CA"/>
        </w:rPr>
        <w:t>address</w:t>
      </w:r>
      <w:r w:rsidR="00290F29">
        <w:rPr>
          <w:lang w:val="en-CA"/>
        </w:rPr>
        <w:t>ing</w:t>
      </w:r>
      <w:r w:rsidR="00290F29" w:rsidRPr="00290F29">
        <w:rPr>
          <w:lang w:val="en-CA"/>
        </w:rPr>
        <w:t xml:space="preserve"> emerging </w:t>
      </w:r>
      <w:r w:rsidR="00290F29">
        <w:rPr>
          <w:lang w:val="en-CA"/>
        </w:rPr>
        <w:t xml:space="preserve">health related </w:t>
      </w:r>
      <w:r w:rsidR="00290F29" w:rsidRPr="00290F29">
        <w:rPr>
          <w:lang w:val="en-CA"/>
        </w:rPr>
        <w:t>issues</w:t>
      </w:r>
      <w:r w:rsidR="00ED6874">
        <w:rPr>
          <w:lang w:val="en-CA"/>
        </w:rPr>
        <w:t xml:space="preserve"> </w:t>
      </w:r>
      <w:r w:rsidR="00E423F8">
        <w:rPr>
          <w:lang w:val="en-CA"/>
        </w:rPr>
        <w:t xml:space="preserve">by </w:t>
      </w:r>
      <w:r w:rsidR="00290F29">
        <w:rPr>
          <w:lang w:val="en-CA"/>
        </w:rPr>
        <w:t xml:space="preserve">allowing the addition of </w:t>
      </w:r>
      <w:r w:rsidR="00E423F8">
        <w:rPr>
          <w:lang w:val="en-CA"/>
        </w:rPr>
        <w:t>short module</w:t>
      </w:r>
      <w:r w:rsidR="00290F29">
        <w:rPr>
          <w:lang w:val="en-CA"/>
        </w:rPr>
        <w:t>s</w:t>
      </w:r>
      <w:r w:rsidR="00E423F8">
        <w:rPr>
          <w:lang w:val="en-CA"/>
        </w:rPr>
        <w:t xml:space="preserve"> to the questionnaire for some of the collection periods.</w:t>
      </w:r>
      <w:r w:rsidR="00592A8D">
        <w:rPr>
          <w:lang w:val="en-CA"/>
        </w:rPr>
        <w:t xml:space="preserve"> </w:t>
      </w:r>
    </w:p>
    <w:p w14:paraId="6F489ADD" w14:textId="77777777" w:rsidR="00E916C4" w:rsidRDefault="00E916C4" w:rsidP="00D708F4">
      <w:pPr>
        <w:pStyle w:val="Titre2"/>
        <w:rPr>
          <w:lang w:val="en-CA"/>
        </w:rPr>
      </w:pPr>
      <w:r>
        <w:rPr>
          <w:lang w:val="en-CA"/>
        </w:rPr>
        <w:t xml:space="preserve">Past: Factors leading into the </w:t>
      </w:r>
      <w:r w:rsidR="00832441">
        <w:rPr>
          <w:lang w:val="en-CA"/>
        </w:rPr>
        <w:t xml:space="preserve">2015 </w:t>
      </w:r>
      <w:r>
        <w:rPr>
          <w:lang w:val="en-CA"/>
        </w:rPr>
        <w:t>CCHS redesign</w:t>
      </w:r>
    </w:p>
    <w:p w14:paraId="4F6A09E5" w14:textId="6CE98F9D" w:rsidR="00832441" w:rsidRPr="00832441" w:rsidRDefault="006A44F1" w:rsidP="00832441">
      <w:pPr>
        <w:rPr>
          <w:lang w:val="en-CA"/>
        </w:rPr>
      </w:pPr>
      <w:r>
        <w:rPr>
          <w:lang w:val="en-CA"/>
        </w:rPr>
        <w:t>For its 2015 redesign, the CCHS had to achieve some savings while trying to maintain the level of quality of the estimates produced by the survey</w:t>
      </w:r>
      <w:r w:rsidR="00290F29">
        <w:rPr>
          <w:lang w:val="en-CA"/>
        </w:rPr>
        <w:t xml:space="preserve"> since 2001</w:t>
      </w:r>
      <w:r>
        <w:rPr>
          <w:lang w:val="en-CA"/>
        </w:rPr>
        <w:t>. In addition to this main objective</w:t>
      </w:r>
      <w:r w:rsidR="00290F29">
        <w:rPr>
          <w:lang w:val="en-CA"/>
        </w:rPr>
        <w:t>,</w:t>
      </w:r>
      <w:r>
        <w:rPr>
          <w:lang w:val="en-CA"/>
        </w:rPr>
        <w:t xml:space="preserve"> other factors had to be taken into consideration. We describe some of them below.</w:t>
      </w:r>
    </w:p>
    <w:p w14:paraId="320A7414" w14:textId="77777777" w:rsidR="001833A2" w:rsidRDefault="00D708F4" w:rsidP="00E916C4">
      <w:pPr>
        <w:pStyle w:val="Titre3"/>
        <w:rPr>
          <w:lang w:val="en-CA"/>
        </w:rPr>
      </w:pPr>
      <w:r>
        <w:rPr>
          <w:lang w:val="en-CA"/>
        </w:rPr>
        <w:t>Decline in response rates</w:t>
      </w:r>
    </w:p>
    <w:p w14:paraId="5613ED98" w14:textId="2A1BAEA0" w:rsidR="00592A8D" w:rsidRDefault="00C67FB0">
      <w:pPr>
        <w:rPr>
          <w:lang w:val="en-CA"/>
        </w:rPr>
      </w:pPr>
      <w:r>
        <w:rPr>
          <w:lang w:val="en-CA"/>
        </w:rPr>
        <w:t xml:space="preserve">Over the last 15 years, response rates for Statistics Canada’s household surveys have been steadily decreasing. CCHS </w:t>
      </w:r>
      <w:r w:rsidR="00F42568">
        <w:rPr>
          <w:lang w:val="en-CA"/>
        </w:rPr>
        <w:t xml:space="preserve">is no exception and </w:t>
      </w:r>
      <w:r>
        <w:rPr>
          <w:lang w:val="en-CA"/>
        </w:rPr>
        <w:t xml:space="preserve">is the survey with the most noticeable decrease. As can be seen in </w:t>
      </w:r>
      <w:r w:rsidR="006A3C0C">
        <w:rPr>
          <w:lang w:val="en-CA"/>
        </w:rPr>
        <w:t>Figure 1</w:t>
      </w:r>
      <w:r>
        <w:rPr>
          <w:lang w:val="en-CA"/>
        </w:rPr>
        <w:t xml:space="preserve"> below, from 86.9% at its beginning, the response rate for CCHS has gone down to 57.5% for 2015.</w:t>
      </w:r>
      <w:r w:rsidR="00246B42">
        <w:rPr>
          <w:lang w:val="en-CA"/>
        </w:rPr>
        <w:t xml:space="preserve"> </w:t>
      </w:r>
      <w:r w:rsidR="006A3C0C">
        <w:rPr>
          <w:lang w:val="en-CA"/>
        </w:rPr>
        <w:t>The first collection cycle of 2016</w:t>
      </w:r>
      <w:r w:rsidR="00694185">
        <w:rPr>
          <w:lang w:val="en-CA"/>
        </w:rPr>
        <w:t>, which was the first one following the redesign</w:t>
      </w:r>
      <w:r w:rsidR="00710B72">
        <w:rPr>
          <w:lang w:val="en-CA"/>
        </w:rPr>
        <w:t xml:space="preserve"> year</w:t>
      </w:r>
      <w:r w:rsidR="00694185">
        <w:rPr>
          <w:lang w:val="en-CA"/>
        </w:rPr>
        <w:t>,</w:t>
      </w:r>
      <w:r w:rsidR="006A3C0C">
        <w:rPr>
          <w:lang w:val="en-CA"/>
        </w:rPr>
        <w:t xml:space="preserve"> showed a</w:t>
      </w:r>
      <w:r w:rsidR="00A633B0">
        <w:rPr>
          <w:lang w:val="en-CA"/>
        </w:rPr>
        <w:t xml:space="preserve"> </w:t>
      </w:r>
      <w:r w:rsidR="006A3C0C">
        <w:rPr>
          <w:lang w:val="en-CA"/>
        </w:rPr>
        <w:t>small</w:t>
      </w:r>
      <w:r w:rsidR="00A633B0">
        <w:rPr>
          <w:lang w:val="en-CA"/>
        </w:rPr>
        <w:t xml:space="preserve"> improvement </w:t>
      </w:r>
      <w:r w:rsidR="006A3C0C">
        <w:rPr>
          <w:lang w:val="en-CA"/>
        </w:rPr>
        <w:t xml:space="preserve">with a response </w:t>
      </w:r>
      <w:r w:rsidR="00A633B0">
        <w:rPr>
          <w:lang w:val="en-CA"/>
        </w:rPr>
        <w:t xml:space="preserve">rate </w:t>
      </w:r>
      <w:r w:rsidR="006A3C0C">
        <w:rPr>
          <w:lang w:val="en-CA"/>
        </w:rPr>
        <w:t xml:space="preserve">of </w:t>
      </w:r>
      <w:r w:rsidR="00246B42">
        <w:rPr>
          <w:lang w:val="en-CA"/>
        </w:rPr>
        <w:t>61.2%</w:t>
      </w:r>
      <w:r w:rsidR="00013471">
        <w:rPr>
          <w:lang w:val="en-CA"/>
        </w:rPr>
        <w:t>.</w:t>
      </w:r>
    </w:p>
    <w:p w14:paraId="558EC140" w14:textId="62AEE3B7" w:rsidR="007B384D" w:rsidRPr="007B384D" w:rsidRDefault="00FA545C">
      <w:pPr>
        <w:rPr>
          <w:lang w:val="en-CA"/>
        </w:rPr>
      </w:pPr>
      <w:r>
        <w:rPr>
          <w:noProof/>
          <w:lang w:val="fr-CA" w:eastAsia="fr-CA"/>
        </w:rPr>
        <w:drawing>
          <wp:anchor distT="0" distB="0" distL="114300" distR="114300" simplePos="0" relativeHeight="251662336" behindDoc="0" locked="0" layoutInCell="1" allowOverlap="1" wp14:anchorId="6DE9B288" wp14:editId="39730D68">
            <wp:simplePos x="0" y="0"/>
            <wp:positionH relativeFrom="margin">
              <wp:align>right</wp:align>
            </wp:positionH>
            <wp:positionV relativeFrom="paragraph">
              <wp:posOffset>285750</wp:posOffset>
            </wp:positionV>
            <wp:extent cx="5934075" cy="2028825"/>
            <wp:effectExtent l="0" t="0" r="9525" b="9525"/>
            <wp:wrapSquare wrapText="bothSides"/>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7B384D">
        <w:rPr>
          <w:b/>
          <w:bCs/>
        </w:rPr>
        <w:t xml:space="preserve">Figure 1 - </w:t>
      </w:r>
      <w:r w:rsidR="007B384D" w:rsidRPr="007B384D">
        <w:rPr>
          <w:b/>
          <w:bCs/>
        </w:rPr>
        <w:t>Response rate</w:t>
      </w:r>
      <w:r w:rsidR="007B384D">
        <w:rPr>
          <w:b/>
          <w:bCs/>
        </w:rPr>
        <w:t>s</w:t>
      </w:r>
      <w:r w:rsidR="007B384D" w:rsidRPr="007B384D">
        <w:rPr>
          <w:b/>
          <w:bCs/>
        </w:rPr>
        <w:t xml:space="preserve"> for some of Statistics Canada's household surveys</w:t>
      </w:r>
    </w:p>
    <w:p w14:paraId="58DA6B27" w14:textId="77777777" w:rsidR="00E916C4" w:rsidRDefault="00E916C4" w:rsidP="00E916C4">
      <w:pPr>
        <w:pStyle w:val="Titre3"/>
        <w:rPr>
          <w:lang w:val="en-CA"/>
        </w:rPr>
      </w:pPr>
      <w:r>
        <w:rPr>
          <w:lang w:val="en-CA"/>
        </w:rPr>
        <w:lastRenderedPageBreak/>
        <w:t>Development of Household Surveys Frame Service</w:t>
      </w:r>
    </w:p>
    <w:p w14:paraId="4E4DA95C" w14:textId="79745351" w:rsidR="00E916C4" w:rsidRDefault="00E916C4" w:rsidP="00E916C4">
      <w:pPr>
        <w:rPr>
          <w:lang w:val="en-CA"/>
        </w:rPr>
      </w:pPr>
      <w:r>
        <w:rPr>
          <w:lang w:val="en-CA"/>
        </w:rPr>
        <w:t xml:space="preserve">A new frame service has recently been developed at </w:t>
      </w:r>
      <w:r w:rsidR="00840349">
        <w:rPr>
          <w:lang w:val="en-CA"/>
        </w:rPr>
        <w:t>Statistics Canada</w:t>
      </w:r>
      <w:r>
        <w:rPr>
          <w:lang w:val="en-CA"/>
        </w:rPr>
        <w:t>. This service uses various sources of information including administrative files and billing information to provide an accurate list of dwellings along with up to date and valid contact information (address and phone number). The phone number information now includes cell phones. This improved contact information can only help reaching household</w:t>
      </w:r>
      <w:r w:rsidR="00694185">
        <w:rPr>
          <w:lang w:val="en-CA"/>
        </w:rPr>
        <w:t>s</w:t>
      </w:r>
      <w:r>
        <w:rPr>
          <w:lang w:val="en-CA"/>
        </w:rPr>
        <w:t>.</w:t>
      </w:r>
    </w:p>
    <w:p w14:paraId="1467015F" w14:textId="63D1EB8A" w:rsidR="00E916C4" w:rsidRDefault="00E916C4" w:rsidP="00E916C4">
      <w:pPr>
        <w:pStyle w:val="Titre3"/>
        <w:rPr>
          <w:lang w:val="en-CA"/>
        </w:rPr>
      </w:pPr>
      <w:r>
        <w:rPr>
          <w:lang w:val="en-CA"/>
        </w:rPr>
        <w:t xml:space="preserve">Increase of </w:t>
      </w:r>
      <w:r w:rsidR="00AA1016">
        <w:rPr>
          <w:lang w:val="en-CA"/>
        </w:rPr>
        <w:t>I</w:t>
      </w:r>
      <w:r>
        <w:rPr>
          <w:lang w:val="en-CA"/>
        </w:rPr>
        <w:t>nternet penetration in Canada</w:t>
      </w:r>
    </w:p>
    <w:p w14:paraId="4EAC4FE9" w14:textId="63752622" w:rsidR="00E916C4" w:rsidRDefault="00E916C4" w:rsidP="00E916C4">
      <w:pPr>
        <w:rPr>
          <w:lang w:val="en-CA"/>
        </w:rPr>
      </w:pPr>
      <w:r>
        <w:rPr>
          <w:lang w:val="en-CA"/>
        </w:rPr>
        <w:t xml:space="preserve">According to </w:t>
      </w:r>
      <w:r w:rsidR="00840349">
        <w:rPr>
          <w:lang w:val="en-CA"/>
        </w:rPr>
        <w:t>Statistics Canada</w:t>
      </w:r>
      <w:r>
        <w:rPr>
          <w:lang w:val="en-CA"/>
        </w:rPr>
        <w:t>’s Canadian Internet Use Survey, the proportion of household</w:t>
      </w:r>
      <w:r w:rsidR="00F773F9" w:rsidRPr="00ED6874">
        <w:rPr>
          <w:lang w:val="en-CA"/>
        </w:rPr>
        <w:t>s</w:t>
      </w:r>
      <w:r>
        <w:rPr>
          <w:lang w:val="en-CA"/>
        </w:rPr>
        <w:t xml:space="preserve"> having Internet access is now over eighty percent since 2012. Collection over the Internet would obviously constitute a much cheaper option than CATI or CAPI</w:t>
      </w:r>
      <w:r w:rsidR="00694185">
        <w:rPr>
          <w:lang w:val="en-CA"/>
        </w:rPr>
        <w:t xml:space="preserve">, but despite </w:t>
      </w:r>
      <w:r>
        <w:rPr>
          <w:lang w:val="en-CA"/>
        </w:rPr>
        <w:t>the Internet penetration rate indicated above</w:t>
      </w:r>
      <w:r w:rsidR="00694185">
        <w:rPr>
          <w:lang w:val="en-CA"/>
        </w:rPr>
        <w:t xml:space="preserve">, </w:t>
      </w:r>
      <w:r>
        <w:rPr>
          <w:lang w:val="en-CA"/>
        </w:rPr>
        <w:t xml:space="preserve">other modes of collection </w:t>
      </w:r>
      <w:r w:rsidR="00694185">
        <w:rPr>
          <w:lang w:val="en-CA"/>
        </w:rPr>
        <w:t>would still be required</w:t>
      </w:r>
      <w:r>
        <w:rPr>
          <w:lang w:val="en-CA"/>
        </w:rPr>
        <w:t xml:space="preserve"> to ensure people </w:t>
      </w:r>
      <w:r w:rsidR="00694185">
        <w:rPr>
          <w:lang w:val="en-CA"/>
        </w:rPr>
        <w:t>without</w:t>
      </w:r>
      <w:r>
        <w:rPr>
          <w:lang w:val="en-CA"/>
        </w:rPr>
        <w:t xml:space="preserve"> Internet connection can be surveyed.</w:t>
      </w:r>
    </w:p>
    <w:p w14:paraId="4382728A" w14:textId="77777777" w:rsidR="00E916C4" w:rsidRDefault="003D6AD7" w:rsidP="00E916C4">
      <w:pPr>
        <w:pStyle w:val="Titre3"/>
        <w:rPr>
          <w:lang w:val="en-CA"/>
        </w:rPr>
      </w:pPr>
      <w:r>
        <w:rPr>
          <w:lang w:val="en-CA"/>
        </w:rPr>
        <w:t>Data gap on children under twelve</w:t>
      </w:r>
    </w:p>
    <w:p w14:paraId="7E70EA40" w14:textId="42682FA0" w:rsidR="00E916C4" w:rsidRPr="00E916C4" w:rsidRDefault="003D6AD7" w:rsidP="00E916C4">
      <w:pPr>
        <w:rPr>
          <w:lang w:val="en-CA"/>
        </w:rPr>
      </w:pPr>
      <w:r>
        <w:rPr>
          <w:lang w:val="en-CA"/>
        </w:rPr>
        <w:t xml:space="preserve">Statistics Canada is currently </w:t>
      </w:r>
      <w:r w:rsidR="00694185">
        <w:rPr>
          <w:lang w:val="en-CA"/>
        </w:rPr>
        <w:t xml:space="preserve">not </w:t>
      </w:r>
      <w:r>
        <w:rPr>
          <w:lang w:val="en-CA"/>
        </w:rPr>
        <w:t>collecting health related information on children under twelve years old. Since the coverage of</w:t>
      </w:r>
      <w:r w:rsidR="00147339">
        <w:rPr>
          <w:lang w:val="en-CA"/>
        </w:rPr>
        <w:t xml:space="preserve"> children aged twelve to seventeen has been problematic with the previous design of the CCHS, this is certainly something to take into consideration for the redesign.</w:t>
      </w:r>
    </w:p>
    <w:p w14:paraId="4CD79C73" w14:textId="77777777" w:rsidR="00D708F4" w:rsidRDefault="00147339" w:rsidP="00D708F4">
      <w:pPr>
        <w:pStyle w:val="Titre2"/>
        <w:rPr>
          <w:lang w:val="en-CA"/>
        </w:rPr>
      </w:pPr>
      <w:r>
        <w:rPr>
          <w:lang w:val="en-CA"/>
        </w:rPr>
        <w:t xml:space="preserve">Present: </w:t>
      </w:r>
      <w:r w:rsidR="006A44F1">
        <w:rPr>
          <w:lang w:val="en-CA"/>
        </w:rPr>
        <w:t>Redesigned methodology</w:t>
      </w:r>
    </w:p>
    <w:p w14:paraId="0699C3B8" w14:textId="054CBDC8" w:rsidR="00592A8D" w:rsidRDefault="006A44F1" w:rsidP="00BB2DCC">
      <w:pPr>
        <w:rPr>
          <w:lang w:val="en-CA"/>
        </w:rPr>
      </w:pPr>
      <w:r>
        <w:rPr>
          <w:lang w:val="en-CA"/>
        </w:rPr>
        <w:t xml:space="preserve">In order to </w:t>
      </w:r>
      <w:r w:rsidR="00694185">
        <w:rPr>
          <w:lang w:val="en-CA"/>
        </w:rPr>
        <w:t>help</w:t>
      </w:r>
      <w:r>
        <w:rPr>
          <w:lang w:val="en-CA"/>
        </w:rPr>
        <w:t xml:space="preserve"> reduc</w:t>
      </w:r>
      <w:r w:rsidR="00694185">
        <w:rPr>
          <w:lang w:val="en-CA"/>
        </w:rPr>
        <w:t>ing</w:t>
      </w:r>
      <w:r>
        <w:rPr>
          <w:lang w:val="en-CA"/>
        </w:rPr>
        <w:t xml:space="preserve"> </w:t>
      </w:r>
      <w:r w:rsidR="00ED6874">
        <w:rPr>
          <w:lang w:val="en-CA"/>
        </w:rPr>
        <w:t>the survey</w:t>
      </w:r>
      <w:r>
        <w:rPr>
          <w:lang w:val="en-CA"/>
        </w:rPr>
        <w:t xml:space="preserve"> costs, the annual sample size was reduced from 117,460 to 108,310.</w:t>
      </w:r>
      <w:r w:rsidR="00651E91">
        <w:rPr>
          <w:lang w:val="en-CA"/>
        </w:rPr>
        <w:t xml:space="preserve"> This sample size reduction was made possible in part by the improved sample design.</w:t>
      </w:r>
      <w:r>
        <w:rPr>
          <w:lang w:val="en-CA"/>
        </w:rPr>
        <w:t xml:space="preserve"> </w:t>
      </w:r>
      <w:r w:rsidR="009B7010">
        <w:rPr>
          <w:lang w:val="en-CA"/>
        </w:rPr>
        <w:t>An important change</w:t>
      </w:r>
      <w:r w:rsidR="00592A8D">
        <w:rPr>
          <w:lang w:val="en-CA"/>
        </w:rPr>
        <w:t xml:space="preserve"> </w:t>
      </w:r>
      <w:r w:rsidR="009B7010">
        <w:rPr>
          <w:lang w:val="en-CA"/>
        </w:rPr>
        <w:t xml:space="preserve">impacting </w:t>
      </w:r>
      <w:r w:rsidR="00592A8D">
        <w:rPr>
          <w:lang w:val="en-CA"/>
        </w:rPr>
        <w:t xml:space="preserve">collection and response more directly is the change </w:t>
      </w:r>
      <w:r w:rsidR="009B7010">
        <w:rPr>
          <w:lang w:val="en-CA"/>
        </w:rPr>
        <w:t xml:space="preserve">of the length of the collection period </w:t>
      </w:r>
      <w:r w:rsidR="00592A8D">
        <w:rPr>
          <w:lang w:val="en-CA"/>
        </w:rPr>
        <w:t xml:space="preserve">from two to three months.  </w:t>
      </w:r>
      <w:r w:rsidR="009B7010">
        <w:rPr>
          <w:lang w:val="en-CA"/>
        </w:rPr>
        <w:t xml:space="preserve">This change gives more time to collect </w:t>
      </w:r>
      <w:r w:rsidR="00592A8D">
        <w:rPr>
          <w:lang w:val="en-CA"/>
        </w:rPr>
        <w:t xml:space="preserve">the data on a </w:t>
      </w:r>
      <w:r w:rsidR="009B7010">
        <w:rPr>
          <w:lang w:val="en-CA"/>
        </w:rPr>
        <w:t xml:space="preserve">slightly </w:t>
      </w:r>
      <w:r w:rsidR="00592A8D">
        <w:rPr>
          <w:lang w:val="en-CA"/>
        </w:rPr>
        <w:t>larger sample each collection period</w:t>
      </w:r>
      <w:r w:rsidR="0080226A">
        <w:rPr>
          <w:lang w:val="en-CA"/>
        </w:rPr>
        <w:t xml:space="preserve"> (26,500 cases in the provinces each three months instead of 19,000 per two months)</w:t>
      </w:r>
      <w:r w:rsidR="00592A8D">
        <w:rPr>
          <w:lang w:val="en-CA"/>
        </w:rPr>
        <w:t>.</w:t>
      </w:r>
    </w:p>
    <w:p w14:paraId="53F61873" w14:textId="77777777" w:rsidR="005272D7" w:rsidRDefault="00245A0C" w:rsidP="00BB2DCC">
      <w:pPr>
        <w:rPr>
          <w:lang w:val="en-CA"/>
        </w:rPr>
      </w:pPr>
      <w:r>
        <w:rPr>
          <w:lang w:val="en-CA"/>
        </w:rPr>
        <w:t>Before the redesign</w:t>
      </w:r>
      <w:r w:rsidR="009B7010">
        <w:rPr>
          <w:lang w:val="en-CA"/>
        </w:rPr>
        <w:t>,</w:t>
      </w:r>
      <w:r>
        <w:rPr>
          <w:lang w:val="en-CA"/>
        </w:rPr>
        <w:t xml:space="preserve"> samples were drawn from an area frame for CAPI collection</w:t>
      </w:r>
      <w:r w:rsidR="00951E40">
        <w:rPr>
          <w:lang w:val="en-CA"/>
        </w:rPr>
        <w:t>,</w:t>
      </w:r>
      <w:r>
        <w:rPr>
          <w:lang w:val="en-CA"/>
        </w:rPr>
        <w:t xml:space="preserve"> mostly</w:t>
      </w:r>
      <w:r w:rsidR="00951E40">
        <w:rPr>
          <w:lang w:val="en-CA"/>
        </w:rPr>
        <w:t>,</w:t>
      </w:r>
      <w:r>
        <w:rPr>
          <w:lang w:val="en-CA"/>
        </w:rPr>
        <w:t xml:space="preserve"> and from telep</w:t>
      </w:r>
      <w:r w:rsidR="005272D7">
        <w:rPr>
          <w:lang w:val="en-CA"/>
        </w:rPr>
        <w:t>hone lists for CATI collection. With time, an increasing number of cases from the area frame were collected through CATI.</w:t>
      </w:r>
      <w:r w:rsidR="00FC4B80">
        <w:rPr>
          <w:lang w:val="en-CA"/>
        </w:rPr>
        <w:t xml:space="preserve"> With two independent samples representing similar populations, a dual-frame methodology had to be used to integrate the two samples.</w:t>
      </w:r>
    </w:p>
    <w:p w14:paraId="2314CCDF" w14:textId="0B1EC26D" w:rsidR="00A219C7" w:rsidRDefault="00FC4B80" w:rsidP="00A219C7">
      <w:pPr>
        <w:rPr>
          <w:lang w:val="en-CA"/>
        </w:rPr>
      </w:pPr>
      <w:r>
        <w:rPr>
          <w:lang w:val="en-CA"/>
        </w:rPr>
        <w:t xml:space="preserve">To take advantage of the newly available </w:t>
      </w:r>
      <w:r w:rsidR="009B7010">
        <w:rPr>
          <w:lang w:val="en-CA"/>
        </w:rPr>
        <w:t>frame service</w:t>
      </w:r>
      <w:r>
        <w:rPr>
          <w:lang w:val="en-CA"/>
        </w:rPr>
        <w:t xml:space="preserve"> and to simplify the sampling and estimation processes, it was decided to </w:t>
      </w:r>
      <w:r w:rsidR="00A219C7">
        <w:rPr>
          <w:lang w:val="en-CA"/>
        </w:rPr>
        <w:t xml:space="preserve">use a single dwelling frame to cover the population aged eighteen and over. The sample for this population is </w:t>
      </w:r>
      <w:r w:rsidR="00E2186C">
        <w:rPr>
          <w:lang w:val="en-CA"/>
        </w:rPr>
        <w:t xml:space="preserve">drawn </w:t>
      </w:r>
      <w:r w:rsidR="00E2186C" w:rsidRPr="00E2186C">
        <w:rPr>
          <w:lang w:val="en-CA"/>
        </w:rPr>
        <w:t xml:space="preserve">from Statistics Canada’s area frame developed </w:t>
      </w:r>
      <w:r w:rsidR="00E2186C">
        <w:rPr>
          <w:lang w:val="en-CA"/>
        </w:rPr>
        <w:t xml:space="preserve">primarily </w:t>
      </w:r>
      <w:r w:rsidR="00E2186C" w:rsidRPr="00E2186C">
        <w:rPr>
          <w:lang w:val="en-CA"/>
        </w:rPr>
        <w:t>for the</w:t>
      </w:r>
      <w:r w:rsidR="00A219C7">
        <w:rPr>
          <w:lang w:val="en-CA"/>
        </w:rPr>
        <w:t xml:space="preserve"> </w:t>
      </w:r>
      <w:r w:rsidR="004A61AE">
        <w:rPr>
          <w:lang w:val="en-CA"/>
        </w:rPr>
        <w:t>Canadian Labour Force Survey (LFS)</w:t>
      </w:r>
      <w:r w:rsidR="00245A0C">
        <w:rPr>
          <w:lang w:val="en-CA"/>
        </w:rPr>
        <w:t>.</w:t>
      </w:r>
      <w:r w:rsidR="004A61AE">
        <w:rPr>
          <w:lang w:val="en-CA"/>
        </w:rPr>
        <w:t xml:space="preserve"> This approach </w:t>
      </w:r>
      <w:r w:rsidR="00E2186C">
        <w:rPr>
          <w:lang w:val="en-CA"/>
        </w:rPr>
        <w:t xml:space="preserve">makes it possible </w:t>
      </w:r>
      <w:r w:rsidR="004A61AE">
        <w:rPr>
          <w:lang w:val="en-CA"/>
        </w:rPr>
        <w:t>to minimize the overlap</w:t>
      </w:r>
      <w:r w:rsidR="00245A0C">
        <w:rPr>
          <w:lang w:val="en-CA"/>
        </w:rPr>
        <w:t xml:space="preserve"> </w:t>
      </w:r>
      <w:r w:rsidR="00AD3748">
        <w:rPr>
          <w:lang w:val="en-CA"/>
        </w:rPr>
        <w:t>between</w:t>
      </w:r>
      <w:r w:rsidR="004A61AE">
        <w:rPr>
          <w:lang w:val="en-CA"/>
        </w:rPr>
        <w:t xml:space="preserve"> the </w:t>
      </w:r>
      <w:r w:rsidR="00ED6874">
        <w:rPr>
          <w:lang w:val="en-CA"/>
        </w:rPr>
        <w:t>CCHS and</w:t>
      </w:r>
      <w:r w:rsidR="004A61AE">
        <w:rPr>
          <w:lang w:val="en-CA"/>
        </w:rPr>
        <w:t xml:space="preserve"> LFS samples</w:t>
      </w:r>
      <w:r w:rsidR="00E2186C">
        <w:rPr>
          <w:lang w:val="en-CA"/>
        </w:rPr>
        <w:t>,</w:t>
      </w:r>
      <w:r w:rsidR="004A61AE">
        <w:rPr>
          <w:lang w:val="en-CA"/>
        </w:rPr>
        <w:t xml:space="preserve"> as well as samples for other major </w:t>
      </w:r>
      <w:r w:rsidR="00840349">
        <w:rPr>
          <w:lang w:val="en-CA"/>
        </w:rPr>
        <w:t>Statistics Canada</w:t>
      </w:r>
      <w:r w:rsidR="004A61AE">
        <w:rPr>
          <w:lang w:val="en-CA"/>
        </w:rPr>
        <w:t xml:space="preserve"> surveys</w:t>
      </w:r>
      <w:r w:rsidR="00E2186C">
        <w:rPr>
          <w:lang w:val="en-CA"/>
        </w:rPr>
        <w:t xml:space="preserve"> using the area frame</w:t>
      </w:r>
      <w:r w:rsidR="004A61AE">
        <w:rPr>
          <w:lang w:val="en-CA"/>
        </w:rPr>
        <w:t xml:space="preserve">. It also allows for a synchronization of CAPI collection </w:t>
      </w:r>
      <w:r w:rsidR="00AD3748">
        <w:rPr>
          <w:lang w:val="en-CA"/>
        </w:rPr>
        <w:t>resources</w:t>
      </w:r>
      <w:r w:rsidR="00CC6B50">
        <w:rPr>
          <w:lang w:val="en-CA"/>
        </w:rPr>
        <w:t xml:space="preserve"> between surveys</w:t>
      </w:r>
      <w:r w:rsidR="00AD3748">
        <w:rPr>
          <w:lang w:val="en-CA"/>
        </w:rPr>
        <w:t xml:space="preserve">. </w:t>
      </w:r>
      <w:r w:rsidR="00A219C7">
        <w:rPr>
          <w:lang w:val="en-CA"/>
        </w:rPr>
        <w:t>The list of dwellings and</w:t>
      </w:r>
      <w:r w:rsidR="00D43724">
        <w:rPr>
          <w:lang w:val="en-CA"/>
        </w:rPr>
        <w:t xml:space="preserve"> their</w:t>
      </w:r>
      <w:r w:rsidR="00A219C7">
        <w:rPr>
          <w:lang w:val="en-CA"/>
        </w:rPr>
        <w:t xml:space="preserve"> contact information are extracted from the Household Surveys Frame Service.</w:t>
      </w:r>
    </w:p>
    <w:p w14:paraId="27FE21DC" w14:textId="6B0D2169" w:rsidR="00652D48" w:rsidRDefault="009B7010" w:rsidP="00651E91">
      <w:pPr>
        <w:rPr>
          <w:lang w:val="en-CA"/>
        </w:rPr>
      </w:pPr>
      <w:r>
        <w:rPr>
          <w:lang w:val="en-CA"/>
        </w:rPr>
        <w:t>In order to deal with the decreasing response rates, as well as to account for changes in the frame and sampling strategy, t</w:t>
      </w:r>
      <w:r w:rsidR="00A219C7">
        <w:rPr>
          <w:lang w:val="en-CA"/>
        </w:rPr>
        <w:t xml:space="preserve">he collection strategy was also modified. </w:t>
      </w:r>
      <w:r w:rsidR="00245A0C">
        <w:rPr>
          <w:lang w:val="en-CA"/>
        </w:rPr>
        <w:t>Collection</w:t>
      </w:r>
      <w:r w:rsidR="00CC6B50">
        <w:rPr>
          <w:lang w:val="en-CA"/>
        </w:rPr>
        <w:t xml:space="preserve"> for the population aged eighteen and over</w:t>
      </w:r>
      <w:r w:rsidR="00245A0C">
        <w:rPr>
          <w:lang w:val="en-CA"/>
        </w:rPr>
        <w:t xml:space="preserve"> </w:t>
      </w:r>
      <w:r w:rsidR="00A219C7">
        <w:rPr>
          <w:lang w:val="en-CA"/>
        </w:rPr>
        <w:t xml:space="preserve">now </w:t>
      </w:r>
      <w:r w:rsidR="00245A0C">
        <w:rPr>
          <w:lang w:val="en-CA"/>
        </w:rPr>
        <w:t>starts as CATI when phone number information is available</w:t>
      </w:r>
      <w:r w:rsidR="005D5790">
        <w:rPr>
          <w:lang w:val="en-CA"/>
        </w:rPr>
        <w:t xml:space="preserve"> which is the case for </w:t>
      </w:r>
      <w:r w:rsidR="00DE049B">
        <w:rPr>
          <w:lang w:val="en-CA"/>
        </w:rPr>
        <w:t>over eighty percent of dwellings</w:t>
      </w:r>
      <w:r w:rsidR="00245A0C">
        <w:rPr>
          <w:lang w:val="en-CA"/>
        </w:rPr>
        <w:t xml:space="preserve"> </w:t>
      </w:r>
      <w:r w:rsidR="00DE049B">
        <w:rPr>
          <w:lang w:val="en-CA"/>
        </w:rPr>
        <w:t xml:space="preserve">appearing on the frame. </w:t>
      </w:r>
      <w:r w:rsidR="00245A0C">
        <w:rPr>
          <w:lang w:val="en-CA"/>
        </w:rPr>
        <w:t xml:space="preserve">CAPI is used </w:t>
      </w:r>
      <w:r w:rsidR="00DE049B">
        <w:rPr>
          <w:lang w:val="en-CA"/>
        </w:rPr>
        <w:t>when no phone number is available</w:t>
      </w:r>
      <w:r w:rsidR="00AD3748">
        <w:rPr>
          <w:lang w:val="en-CA"/>
        </w:rPr>
        <w:t>.</w:t>
      </w:r>
      <w:r w:rsidR="00476C21">
        <w:rPr>
          <w:lang w:val="en-CA"/>
        </w:rPr>
        <w:t xml:space="preserve"> Even though the overall percentage of dwellings for which at least one phone number is available is fairly high, it varies between health regions. </w:t>
      </w:r>
      <w:r w:rsidR="00D43724">
        <w:rPr>
          <w:lang w:val="en-CA"/>
        </w:rPr>
        <w:t>For s</w:t>
      </w:r>
      <w:r w:rsidR="00476C21">
        <w:rPr>
          <w:lang w:val="en-CA"/>
        </w:rPr>
        <w:t>ome of the</w:t>
      </w:r>
      <w:r w:rsidR="00D43724">
        <w:rPr>
          <w:lang w:val="en-CA"/>
        </w:rPr>
        <w:t xml:space="preserve">se </w:t>
      </w:r>
      <w:r w:rsidR="00ED6874">
        <w:rPr>
          <w:lang w:val="en-CA"/>
        </w:rPr>
        <w:t>regions, one</w:t>
      </w:r>
      <w:r w:rsidR="00D43724">
        <w:rPr>
          <w:lang w:val="en-CA"/>
        </w:rPr>
        <w:t xml:space="preserve"> or more </w:t>
      </w:r>
      <w:r w:rsidR="00476C21">
        <w:rPr>
          <w:lang w:val="en-CA"/>
        </w:rPr>
        <w:t>phone number</w:t>
      </w:r>
      <w:r w:rsidR="00D43724">
        <w:rPr>
          <w:lang w:val="en-CA"/>
        </w:rPr>
        <w:t>s are</w:t>
      </w:r>
      <w:r w:rsidR="00476C21">
        <w:rPr>
          <w:lang w:val="en-CA"/>
        </w:rPr>
        <w:t xml:space="preserve"> available for </w:t>
      </w:r>
      <w:r w:rsidR="00D43724">
        <w:rPr>
          <w:lang w:val="en-CA"/>
        </w:rPr>
        <w:t xml:space="preserve">only </w:t>
      </w:r>
      <w:r w:rsidR="00476C21">
        <w:rPr>
          <w:lang w:val="en-CA"/>
        </w:rPr>
        <w:t>fifty percent of the dwellings. For that reason, CAPI also need</w:t>
      </w:r>
      <w:r w:rsidR="00D43724">
        <w:rPr>
          <w:lang w:val="en-CA"/>
        </w:rPr>
        <w:t>s</w:t>
      </w:r>
      <w:r w:rsidR="00476C21">
        <w:rPr>
          <w:lang w:val="en-CA"/>
        </w:rPr>
        <w:t xml:space="preserve"> to be used.</w:t>
      </w:r>
      <w:r w:rsidR="00AD3748">
        <w:rPr>
          <w:lang w:val="en-CA"/>
        </w:rPr>
        <w:t xml:space="preserve"> Cases that </w:t>
      </w:r>
      <w:r w:rsidR="00AD3748">
        <w:rPr>
          <w:lang w:val="en-CA"/>
        </w:rPr>
        <w:lastRenderedPageBreak/>
        <w:t xml:space="preserve">start as CATI can be transferred to CAPI if </w:t>
      </w:r>
      <w:r w:rsidR="00E803D9">
        <w:rPr>
          <w:lang w:val="en-CA"/>
        </w:rPr>
        <w:t>all available phone number information turns out to be invalid. Also, at the end of the second month of collection, cases that have not been contacted through CATI from a subset of health regions with lower response</w:t>
      </w:r>
      <w:r w:rsidR="00D43724">
        <w:rPr>
          <w:lang w:val="en-CA"/>
        </w:rPr>
        <w:t>,</w:t>
      </w:r>
      <w:r w:rsidR="00E803D9">
        <w:rPr>
          <w:lang w:val="en-CA"/>
        </w:rPr>
        <w:t xml:space="preserve"> are transferred to CAPI in an attempt to </w:t>
      </w:r>
      <w:r w:rsidR="00245A0C">
        <w:rPr>
          <w:lang w:val="en-CA"/>
        </w:rPr>
        <w:t>improve response rates</w:t>
      </w:r>
      <w:r w:rsidR="00E803D9">
        <w:rPr>
          <w:lang w:val="en-CA"/>
        </w:rPr>
        <w:t>.</w:t>
      </w:r>
      <w:r w:rsidR="00901526">
        <w:rPr>
          <w:lang w:val="en-CA"/>
        </w:rPr>
        <w:t xml:space="preserve"> </w:t>
      </w:r>
      <w:r w:rsidR="00D43724">
        <w:rPr>
          <w:lang w:val="en-CA"/>
        </w:rPr>
        <w:t>As for t</w:t>
      </w:r>
      <w:r w:rsidR="00CC6B50">
        <w:rPr>
          <w:lang w:val="en-CA"/>
        </w:rPr>
        <w:t>he population aged twelve to seventeen</w:t>
      </w:r>
      <w:r w:rsidR="00D43724">
        <w:rPr>
          <w:lang w:val="en-CA"/>
        </w:rPr>
        <w:t xml:space="preserve">, it </w:t>
      </w:r>
      <w:r w:rsidR="00CC6B50">
        <w:rPr>
          <w:lang w:val="en-CA"/>
        </w:rPr>
        <w:t xml:space="preserve">is only collected through CATI as phone numbers are available for most of the cases. </w:t>
      </w:r>
      <w:r w:rsidR="00651E91">
        <w:rPr>
          <w:lang w:val="en-CA"/>
        </w:rPr>
        <w:t xml:space="preserve">Overall, the proportion of cases completed in CATI increased from 61% in 2014 to </w:t>
      </w:r>
      <w:r w:rsidR="00C1212E">
        <w:rPr>
          <w:lang w:val="en-CA"/>
        </w:rPr>
        <w:t>67</w:t>
      </w:r>
      <w:r w:rsidR="00651E91">
        <w:rPr>
          <w:lang w:val="en-CA"/>
        </w:rPr>
        <w:t xml:space="preserve">% in 2015. This has been a key factor for cost reduction. </w:t>
      </w:r>
    </w:p>
    <w:p w14:paraId="5B65B74F" w14:textId="0954AE29" w:rsidR="00592A8D" w:rsidRPr="00B43CF2" w:rsidRDefault="009B7010" w:rsidP="00BB2DCC">
      <w:pPr>
        <w:rPr>
          <w:lang w:val="en-CA"/>
        </w:rPr>
      </w:pPr>
      <w:r>
        <w:rPr>
          <w:lang w:val="en-CA"/>
        </w:rPr>
        <w:t xml:space="preserve">To improve the coverage of the twelve to seventeen years old and prepare for the addition of children under 12 to the coverage of the health program, </w:t>
      </w:r>
      <w:r w:rsidR="00592A8D">
        <w:rPr>
          <w:lang w:val="en-CA"/>
        </w:rPr>
        <w:t xml:space="preserve">a new sampling frame </w:t>
      </w:r>
      <w:r>
        <w:rPr>
          <w:lang w:val="en-CA"/>
        </w:rPr>
        <w:t>was introduced</w:t>
      </w:r>
      <w:r w:rsidR="00592A8D">
        <w:rPr>
          <w:lang w:val="en-CA"/>
        </w:rPr>
        <w:t>. Th</w:t>
      </w:r>
      <w:r w:rsidR="00A85DE9">
        <w:rPr>
          <w:lang w:val="en-CA"/>
        </w:rPr>
        <w:t>at</w:t>
      </w:r>
      <w:r w:rsidR="00592A8D">
        <w:rPr>
          <w:lang w:val="en-CA"/>
        </w:rPr>
        <w:t xml:space="preserve"> population used to be covered using the same frame and sampling strategy as the adults and they ended up being underrepresented in the sample. To correct that problem, </w:t>
      </w:r>
      <w:r>
        <w:rPr>
          <w:lang w:val="en-CA"/>
        </w:rPr>
        <w:t xml:space="preserve">a </w:t>
      </w:r>
      <w:r w:rsidR="00592A8D">
        <w:rPr>
          <w:lang w:val="en-CA"/>
        </w:rPr>
        <w:t xml:space="preserve">sample </w:t>
      </w:r>
      <w:r>
        <w:rPr>
          <w:lang w:val="en-CA"/>
        </w:rPr>
        <w:t xml:space="preserve">of children </w:t>
      </w:r>
      <w:r w:rsidR="00592A8D">
        <w:rPr>
          <w:lang w:val="en-CA"/>
        </w:rPr>
        <w:t xml:space="preserve">is now </w:t>
      </w:r>
      <w:r>
        <w:rPr>
          <w:lang w:val="en-CA"/>
        </w:rPr>
        <w:t>taken</w:t>
      </w:r>
      <w:r w:rsidR="00592A8D">
        <w:rPr>
          <w:lang w:val="en-CA"/>
        </w:rPr>
        <w:t xml:space="preserve"> from</w:t>
      </w:r>
      <w:r w:rsidR="00B43CF2">
        <w:rPr>
          <w:lang w:val="en-CA"/>
        </w:rPr>
        <w:t xml:space="preserve"> the Canadian Child Tax Benefit files.</w:t>
      </w:r>
      <w:r w:rsidR="007E6437">
        <w:rPr>
          <w:lang w:val="en-CA"/>
        </w:rPr>
        <w:t xml:space="preserve"> These files cover all children </w:t>
      </w:r>
      <w:r w:rsidR="00A25253">
        <w:rPr>
          <w:lang w:val="en-CA"/>
        </w:rPr>
        <w:t>of parents who have claimed the benefit. The benefit was until recently available without consideration to the family income. That allowed for an excellent coverage of the children population.</w:t>
      </w:r>
      <w:r w:rsidR="00674ED6">
        <w:rPr>
          <w:lang w:val="en-CA"/>
        </w:rPr>
        <w:t xml:space="preserve"> </w:t>
      </w:r>
      <w:r w:rsidR="005C01D1">
        <w:rPr>
          <w:lang w:val="en-CA"/>
        </w:rPr>
        <w:t>The coverage is above 90% for all provinces when looking at children one year and older comparing the 2005-2006 counts to those of the Canadian Census of Population</w:t>
      </w:r>
      <w:r w:rsidR="002B7583">
        <w:rPr>
          <w:lang w:val="en-CA"/>
        </w:rPr>
        <w:t xml:space="preserve"> (see</w:t>
      </w:r>
      <w:r w:rsidR="00710B72">
        <w:rPr>
          <w:lang w:val="en-CA"/>
        </w:rPr>
        <w:t xml:space="preserve"> Pantel (2010)</w:t>
      </w:r>
      <w:r w:rsidR="002B7583">
        <w:rPr>
          <w:lang w:val="en-CA"/>
        </w:rPr>
        <w:t>)</w:t>
      </w:r>
      <w:r w:rsidR="005C01D1">
        <w:rPr>
          <w:lang w:val="en-CA"/>
        </w:rPr>
        <w:t>.</w:t>
      </w:r>
    </w:p>
    <w:p w14:paraId="683628FD" w14:textId="77777777" w:rsidR="00BB2DCC" w:rsidRDefault="009A4E29" w:rsidP="00BB2DCC">
      <w:pPr>
        <w:pStyle w:val="Titre2"/>
        <w:rPr>
          <w:lang w:val="en-CA"/>
        </w:rPr>
      </w:pPr>
      <w:r>
        <w:rPr>
          <w:lang w:val="en-CA"/>
        </w:rPr>
        <w:t>Future: Initiatives following the 2015 redesign</w:t>
      </w:r>
    </w:p>
    <w:p w14:paraId="00CF6335" w14:textId="77777777" w:rsidR="009A4E29" w:rsidRPr="009A4E29" w:rsidRDefault="009A4E29" w:rsidP="009A4E29">
      <w:pPr>
        <w:pStyle w:val="Titre3"/>
        <w:rPr>
          <w:lang w:val="en-CA"/>
        </w:rPr>
      </w:pPr>
      <w:r>
        <w:rPr>
          <w:lang w:val="en-CA"/>
        </w:rPr>
        <w:t>Dealing with decline in response rates</w:t>
      </w:r>
    </w:p>
    <w:p w14:paraId="2F1D8DF2" w14:textId="7E72955F" w:rsidR="00D708F4" w:rsidRDefault="004F36BC" w:rsidP="00D708F4">
      <w:pPr>
        <w:rPr>
          <w:lang w:val="en-CA"/>
        </w:rPr>
      </w:pPr>
      <w:r>
        <w:rPr>
          <w:lang w:val="en-CA"/>
        </w:rPr>
        <w:t xml:space="preserve">As one of Statistics Canada’s flagship surveys, </w:t>
      </w:r>
      <w:r w:rsidR="00CF5362">
        <w:rPr>
          <w:lang w:val="en-CA"/>
        </w:rPr>
        <w:t xml:space="preserve">the </w:t>
      </w:r>
      <w:r>
        <w:rPr>
          <w:lang w:val="en-CA"/>
        </w:rPr>
        <w:t xml:space="preserve">CCHS is constantly evolving and is sometimes used to conduct testing. </w:t>
      </w:r>
      <w:r w:rsidR="009A4E29">
        <w:rPr>
          <w:lang w:val="en-CA"/>
        </w:rPr>
        <w:t xml:space="preserve">A few of these tests were recently conducted to address the </w:t>
      </w:r>
      <w:r w:rsidR="00A85DE9">
        <w:rPr>
          <w:lang w:val="en-CA"/>
        </w:rPr>
        <w:t xml:space="preserve">still </w:t>
      </w:r>
      <w:r w:rsidR="009A4E29">
        <w:rPr>
          <w:lang w:val="en-CA"/>
        </w:rPr>
        <w:t>declining response rates issue. Throughout</w:t>
      </w:r>
      <w:r>
        <w:rPr>
          <w:lang w:val="en-CA"/>
        </w:rPr>
        <w:t xml:space="preserve"> 2015</w:t>
      </w:r>
      <w:r w:rsidR="009A4E29">
        <w:rPr>
          <w:lang w:val="en-CA"/>
        </w:rPr>
        <w:t xml:space="preserve">, </w:t>
      </w:r>
      <w:r>
        <w:rPr>
          <w:lang w:val="en-CA"/>
        </w:rPr>
        <w:t xml:space="preserve">new formulations of the introduction letters </w:t>
      </w:r>
      <w:r w:rsidR="009A4E29">
        <w:rPr>
          <w:lang w:val="en-CA"/>
        </w:rPr>
        <w:t>were tested.</w:t>
      </w:r>
      <w:r>
        <w:rPr>
          <w:lang w:val="en-CA"/>
        </w:rPr>
        <w:t xml:space="preserve"> Unfortunately these tests were not conclusive but </w:t>
      </w:r>
      <w:r w:rsidR="00416B3B">
        <w:rPr>
          <w:lang w:val="en-CA"/>
        </w:rPr>
        <w:t xml:space="preserve">the accomplished </w:t>
      </w:r>
      <w:r>
        <w:rPr>
          <w:lang w:val="en-CA"/>
        </w:rPr>
        <w:t xml:space="preserve">work still allowed to make the letters a better </w:t>
      </w:r>
      <w:r w:rsidR="00BF52DF">
        <w:rPr>
          <w:lang w:val="en-CA"/>
        </w:rPr>
        <w:t>communication tool which</w:t>
      </w:r>
      <w:r>
        <w:rPr>
          <w:lang w:val="en-CA"/>
        </w:rPr>
        <w:t>.</w:t>
      </w:r>
      <w:r w:rsidR="00710B72">
        <w:rPr>
          <w:lang w:val="en-CA"/>
        </w:rPr>
        <w:t xml:space="preserve"> This also allowed the introduction to be shortened which helped the interviewers.</w:t>
      </w:r>
    </w:p>
    <w:p w14:paraId="1BDB3E68" w14:textId="44D2CB7E" w:rsidR="004F36BC" w:rsidRDefault="004F36BC" w:rsidP="00D708F4">
      <w:pPr>
        <w:rPr>
          <w:lang w:val="en-CA"/>
        </w:rPr>
      </w:pPr>
      <w:r>
        <w:rPr>
          <w:lang w:val="en-CA"/>
        </w:rPr>
        <w:t>Another</w:t>
      </w:r>
      <w:r w:rsidR="005C01D1">
        <w:rPr>
          <w:lang w:val="en-CA"/>
        </w:rPr>
        <w:t xml:space="preserve"> test</w:t>
      </w:r>
      <w:r>
        <w:rPr>
          <w:lang w:val="en-CA"/>
        </w:rPr>
        <w:t xml:space="preserve"> was conducted in January 2016 to assess how </w:t>
      </w:r>
      <w:r w:rsidR="004616FB">
        <w:rPr>
          <w:lang w:val="en-CA"/>
        </w:rPr>
        <w:t>the</w:t>
      </w:r>
      <w:r>
        <w:rPr>
          <w:lang w:val="en-CA"/>
        </w:rPr>
        <w:t xml:space="preserve"> CCHS would perform as a mandatory survey. </w:t>
      </w:r>
      <w:r w:rsidR="009A4E29">
        <w:rPr>
          <w:lang w:val="en-CA"/>
        </w:rPr>
        <w:t>Because</w:t>
      </w:r>
      <w:r w:rsidR="00B3395A">
        <w:rPr>
          <w:lang w:val="en-CA"/>
        </w:rPr>
        <w:t xml:space="preserve"> the decision to go ahead with that test was made in the fall of 2015, it was decided to use a very simple sampling approach. First, </w:t>
      </w:r>
      <w:r w:rsidR="00416B3B">
        <w:rPr>
          <w:lang w:val="en-CA"/>
        </w:rPr>
        <w:t>for logistic reasons, the</w:t>
      </w:r>
      <w:r w:rsidR="00B3395A">
        <w:rPr>
          <w:lang w:val="en-CA"/>
        </w:rPr>
        <w:t xml:space="preserve"> test </w:t>
      </w:r>
      <w:r w:rsidR="00416B3B">
        <w:rPr>
          <w:lang w:val="en-CA"/>
        </w:rPr>
        <w:t xml:space="preserve">was </w:t>
      </w:r>
      <w:r w:rsidR="00B3395A">
        <w:rPr>
          <w:lang w:val="en-CA"/>
        </w:rPr>
        <w:t xml:space="preserve">only </w:t>
      </w:r>
      <w:r w:rsidR="00416B3B">
        <w:rPr>
          <w:lang w:val="en-CA"/>
        </w:rPr>
        <w:t xml:space="preserve">performed </w:t>
      </w:r>
      <w:r w:rsidR="00B3395A">
        <w:rPr>
          <w:lang w:val="en-CA"/>
        </w:rPr>
        <w:t>on the adult population</w:t>
      </w:r>
      <w:r w:rsidR="00416B3B">
        <w:rPr>
          <w:lang w:val="en-CA"/>
        </w:rPr>
        <w:t xml:space="preserve"> portion of the survey</w:t>
      </w:r>
      <w:r w:rsidR="00B3395A">
        <w:rPr>
          <w:lang w:val="en-CA"/>
        </w:rPr>
        <w:t xml:space="preserve">. Second, </w:t>
      </w:r>
      <w:r w:rsidR="00416B3B">
        <w:rPr>
          <w:lang w:val="en-CA"/>
        </w:rPr>
        <w:t xml:space="preserve">no additional sampling process was added for the test; instead, </w:t>
      </w:r>
      <w:r w:rsidR="0004403E">
        <w:rPr>
          <w:lang w:val="en-CA"/>
        </w:rPr>
        <w:t xml:space="preserve">surplus of </w:t>
      </w:r>
      <w:r w:rsidR="00416B3B">
        <w:rPr>
          <w:lang w:val="en-CA"/>
        </w:rPr>
        <w:t xml:space="preserve">dwellings </w:t>
      </w:r>
      <w:r w:rsidR="004616FB">
        <w:rPr>
          <w:lang w:val="en-CA"/>
        </w:rPr>
        <w:t xml:space="preserve">obtained </w:t>
      </w:r>
      <w:r w:rsidR="00416B3B">
        <w:rPr>
          <w:lang w:val="en-CA"/>
        </w:rPr>
        <w:t>through</w:t>
      </w:r>
      <w:r w:rsidR="004616FB">
        <w:rPr>
          <w:lang w:val="en-CA"/>
        </w:rPr>
        <w:t xml:space="preserve"> the selection of primary sampling units </w:t>
      </w:r>
      <w:r w:rsidR="00BF52DF">
        <w:rPr>
          <w:lang w:val="en-CA"/>
        </w:rPr>
        <w:t xml:space="preserve">unused due to collection capacity were used </w:t>
      </w:r>
      <w:r w:rsidR="00B314F9">
        <w:rPr>
          <w:lang w:val="en-CA"/>
        </w:rPr>
        <w:t>for</w:t>
      </w:r>
      <w:r w:rsidR="00B3395A">
        <w:rPr>
          <w:lang w:val="en-CA"/>
        </w:rPr>
        <w:t xml:space="preserve"> the test sample. Remote areas and health regions with an insufficient number of remaining units were also excluded to </w:t>
      </w:r>
      <w:r w:rsidR="004616FB">
        <w:rPr>
          <w:lang w:val="en-CA"/>
        </w:rPr>
        <w:t xml:space="preserve">lower </w:t>
      </w:r>
      <w:r w:rsidR="00B3395A">
        <w:rPr>
          <w:lang w:val="en-CA"/>
        </w:rPr>
        <w:t xml:space="preserve">collection costs </w:t>
      </w:r>
      <w:r w:rsidR="004616FB">
        <w:rPr>
          <w:lang w:val="en-CA"/>
        </w:rPr>
        <w:t>for the test</w:t>
      </w:r>
      <w:r w:rsidR="00B3395A">
        <w:rPr>
          <w:lang w:val="en-CA"/>
        </w:rPr>
        <w:t>.</w:t>
      </w:r>
      <w:r w:rsidR="00EA45D9">
        <w:rPr>
          <w:lang w:val="en-CA"/>
        </w:rPr>
        <w:t xml:space="preserve"> </w:t>
      </w:r>
      <w:r w:rsidR="004616FB">
        <w:rPr>
          <w:lang w:val="en-CA"/>
        </w:rPr>
        <w:t>Finally, o</w:t>
      </w:r>
      <w:r w:rsidR="00EA45D9">
        <w:rPr>
          <w:lang w:val="en-CA"/>
        </w:rPr>
        <w:t xml:space="preserve">ne sensitive module was moved to the end of the survey and was clearly identified as voluntary. Otherwise, the collection strategy was the same as for </w:t>
      </w:r>
      <w:r w:rsidR="004616FB">
        <w:rPr>
          <w:lang w:val="en-CA"/>
        </w:rPr>
        <w:t xml:space="preserve">the </w:t>
      </w:r>
      <w:r w:rsidR="00EA45D9">
        <w:rPr>
          <w:lang w:val="en-CA"/>
        </w:rPr>
        <w:t>CCHS.</w:t>
      </w:r>
    </w:p>
    <w:p w14:paraId="44F5D151" w14:textId="78AC5674" w:rsidR="00B21474" w:rsidRDefault="00582647" w:rsidP="00D708F4">
      <w:pPr>
        <w:rPr>
          <w:lang w:val="en-CA"/>
        </w:rPr>
      </w:pPr>
      <w:r>
        <w:rPr>
          <w:lang w:val="en-CA"/>
        </w:rPr>
        <w:t>The results of the test were quite conclusive with an overall</w:t>
      </w:r>
      <w:r w:rsidR="00854CA4">
        <w:rPr>
          <w:lang w:val="en-CA"/>
        </w:rPr>
        <w:t xml:space="preserve"> collection</w:t>
      </w:r>
      <w:r>
        <w:rPr>
          <w:lang w:val="en-CA"/>
        </w:rPr>
        <w:t xml:space="preserve"> response rate of </w:t>
      </w:r>
      <w:r w:rsidR="00854CA4">
        <w:rPr>
          <w:lang w:val="en-CA"/>
        </w:rPr>
        <w:t xml:space="preserve">78.2% compared to 62.7% for </w:t>
      </w:r>
      <w:r w:rsidR="004616FB">
        <w:rPr>
          <w:lang w:val="en-CA"/>
        </w:rPr>
        <w:t xml:space="preserve">the </w:t>
      </w:r>
      <w:r w:rsidR="00854CA4">
        <w:rPr>
          <w:lang w:val="en-CA"/>
        </w:rPr>
        <w:t>CCHS on the same subset of health regions</w:t>
      </w:r>
      <w:r w:rsidR="00B21474">
        <w:rPr>
          <w:lang w:val="en-CA"/>
        </w:rPr>
        <w:t xml:space="preserve">. It was also observed that response rates between health regions covered only by </w:t>
      </w:r>
      <w:r w:rsidR="004616FB">
        <w:rPr>
          <w:lang w:val="en-CA"/>
        </w:rPr>
        <w:t xml:space="preserve">the </w:t>
      </w:r>
      <w:r w:rsidR="00B21474">
        <w:rPr>
          <w:lang w:val="en-CA"/>
        </w:rPr>
        <w:t xml:space="preserve">CCHS and those common between the test and CCHS were comparable (63.4% vs. 62.7%). In addition, the improvement in response rates could be seen on both collection modes (14% for CAPI vs. 15.8% for CATI) and that even though the impact on </w:t>
      </w:r>
      <w:r w:rsidR="00CF5362">
        <w:rPr>
          <w:lang w:val="en-CA"/>
        </w:rPr>
        <w:t xml:space="preserve">the </w:t>
      </w:r>
      <w:r w:rsidR="00B21474">
        <w:rPr>
          <w:lang w:val="en-CA"/>
        </w:rPr>
        <w:t>response rate varied by province, the improvement was above 10% for all provinces.</w:t>
      </w:r>
    </w:p>
    <w:p w14:paraId="256BF518" w14:textId="284A6045" w:rsidR="00B21474" w:rsidRDefault="00B21474" w:rsidP="00D708F4">
      <w:pPr>
        <w:rPr>
          <w:lang w:val="en-CA"/>
        </w:rPr>
      </w:pPr>
      <w:r>
        <w:rPr>
          <w:lang w:val="en-CA"/>
        </w:rPr>
        <w:t>As could be expected, the move of the sensitive module to the end of the questionnaire had an impact on the response rate for that module</w:t>
      </w:r>
      <w:r w:rsidR="00CF5362">
        <w:rPr>
          <w:lang w:val="en-CA"/>
        </w:rPr>
        <w:t xml:space="preserve">; </w:t>
      </w:r>
      <w:r>
        <w:rPr>
          <w:lang w:val="en-CA"/>
        </w:rPr>
        <w:t xml:space="preserve">12.7% of respondents </w:t>
      </w:r>
      <w:r w:rsidR="00BF52DF">
        <w:rPr>
          <w:lang w:val="en-CA"/>
        </w:rPr>
        <w:t xml:space="preserve">completely </w:t>
      </w:r>
      <w:r w:rsidR="00CF5362">
        <w:rPr>
          <w:lang w:val="en-CA"/>
        </w:rPr>
        <w:t>refused to</w:t>
      </w:r>
      <w:r>
        <w:rPr>
          <w:lang w:val="en-CA"/>
        </w:rPr>
        <w:t xml:space="preserve"> answer that </w:t>
      </w:r>
      <w:r w:rsidR="00B314F9">
        <w:rPr>
          <w:lang w:val="en-CA"/>
        </w:rPr>
        <w:t>module</w:t>
      </w:r>
      <w:r w:rsidR="00CF5362">
        <w:rPr>
          <w:lang w:val="en-CA"/>
        </w:rPr>
        <w:t>, and for respondents who accepted answering it, the number who</w:t>
      </w:r>
      <w:r>
        <w:rPr>
          <w:lang w:val="en-CA"/>
        </w:rPr>
        <w:t xml:space="preserve"> ended up not completing </w:t>
      </w:r>
      <w:r w:rsidR="00CF5362">
        <w:rPr>
          <w:lang w:val="en-CA"/>
        </w:rPr>
        <w:t>it</w:t>
      </w:r>
      <w:r w:rsidR="00BF52DF">
        <w:rPr>
          <w:lang w:val="en-CA"/>
        </w:rPr>
        <w:t xml:space="preserve"> was twice the amount as for </w:t>
      </w:r>
      <w:r w:rsidR="00CF5362">
        <w:rPr>
          <w:lang w:val="en-CA"/>
        </w:rPr>
        <w:t xml:space="preserve">the regular volunteer-based </w:t>
      </w:r>
      <w:r>
        <w:rPr>
          <w:lang w:val="en-CA"/>
        </w:rPr>
        <w:t>CCHS (7% vs. 3.5%).</w:t>
      </w:r>
    </w:p>
    <w:p w14:paraId="39A661A7" w14:textId="21407D09" w:rsidR="00B340E5" w:rsidRDefault="00FC26D7" w:rsidP="00D708F4">
      <w:pPr>
        <w:rPr>
          <w:lang w:val="en-CA"/>
        </w:rPr>
      </w:pPr>
      <w:r>
        <w:rPr>
          <w:lang w:val="en-CA"/>
        </w:rPr>
        <w:t xml:space="preserve">Based on these results, a decision was made to go ahead and make </w:t>
      </w:r>
      <w:r w:rsidR="00CF5362">
        <w:rPr>
          <w:lang w:val="en-CA"/>
        </w:rPr>
        <w:t>the</w:t>
      </w:r>
      <w:r>
        <w:rPr>
          <w:lang w:val="en-CA"/>
        </w:rPr>
        <w:t xml:space="preserve"> CCHS a mandatory survey starting in January 2017. Changes will be made to the survey to ensure its content </w:t>
      </w:r>
      <w:r w:rsidR="00EA45D9">
        <w:rPr>
          <w:lang w:val="en-CA"/>
        </w:rPr>
        <w:t>is about 45 minute</w:t>
      </w:r>
      <w:r w:rsidR="00CF5362">
        <w:rPr>
          <w:lang w:val="en-CA"/>
        </w:rPr>
        <w:t xml:space="preserve"> </w:t>
      </w:r>
      <w:r w:rsidR="00B314F9">
        <w:rPr>
          <w:lang w:val="en-CA"/>
        </w:rPr>
        <w:t>long and</w:t>
      </w:r>
      <w:r w:rsidR="00EA45D9">
        <w:rPr>
          <w:lang w:val="en-CA"/>
        </w:rPr>
        <w:t xml:space="preserve"> </w:t>
      </w:r>
      <w:r w:rsidR="00CF5362">
        <w:rPr>
          <w:lang w:val="en-CA"/>
        </w:rPr>
        <w:t>that</w:t>
      </w:r>
      <w:r w:rsidR="00EA45D9">
        <w:rPr>
          <w:lang w:val="en-CA"/>
        </w:rPr>
        <w:t xml:space="preserve"> no sensitive questions are asked as part of a mandatory survey.</w:t>
      </w:r>
    </w:p>
    <w:p w14:paraId="3EFD0588" w14:textId="5F97EC1B" w:rsidR="00B340E5" w:rsidRDefault="00B340E5" w:rsidP="00D708F4">
      <w:pPr>
        <w:rPr>
          <w:lang w:val="en-CA"/>
        </w:rPr>
      </w:pPr>
      <w:r>
        <w:rPr>
          <w:lang w:val="en-CA"/>
        </w:rPr>
        <w:t>Some basic analysis was also done to assess whether the profile of respondents to the mandatory test differed from the one of the CCHS respondents and the Canadian population as a whole.</w:t>
      </w:r>
      <w:r w:rsidR="002D09AC">
        <w:rPr>
          <w:lang w:val="en-CA"/>
        </w:rPr>
        <w:t xml:space="preserve"> </w:t>
      </w:r>
      <w:r w:rsidR="00090939">
        <w:rPr>
          <w:lang w:val="en-CA"/>
        </w:rPr>
        <w:t>No differences came out as statistically significant but a</w:t>
      </w:r>
      <w:r w:rsidR="002D09AC">
        <w:rPr>
          <w:lang w:val="en-CA"/>
        </w:rPr>
        <w:t xml:space="preserve">s can be seen in </w:t>
      </w:r>
      <w:r w:rsidR="00335AB6">
        <w:rPr>
          <w:lang w:val="en-CA"/>
        </w:rPr>
        <w:t xml:space="preserve">table </w:t>
      </w:r>
      <w:r w:rsidR="00651E91">
        <w:rPr>
          <w:lang w:val="en-CA"/>
        </w:rPr>
        <w:t>1</w:t>
      </w:r>
      <w:r w:rsidR="00090939">
        <w:rPr>
          <w:lang w:val="en-CA"/>
        </w:rPr>
        <w:t>,</w:t>
      </w:r>
      <w:r w:rsidR="00335AB6">
        <w:rPr>
          <w:lang w:val="en-CA"/>
        </w:rPr>
        <w:t xml:space="preserve"> the proportion of the first and last age group </w:t>
      </w:r>
      <w:r w:rsidR="002D09AC">
        <w:rPr>
          <w:lang w:val="en-CA"/>
        </w:rPr>
        <w:t>in the mandatory test sample are slightly closer to those in the Canadian population.</w:t>
      </w:r>
      <w:r w:rsidR="001E0B04">
        <w:rPr>
          <w:lang w:val="en-CA"/>
        </w:rPr>
        <w:t xml:space="preserve"> But there is still a large overrepresentation of </w:t>
      </w:r>
      <w:r w:rsidR="00DD625C">
        <w:rPr>
          <w:lang w:val="en-CA"/>
        </w:rPr>
        <w:t xml:space="preserve">people aged sixty five or older </w:t>
      </w:r>
      <w:r w:rsidR="00335AB6">
        <w:rPr>
          <w:lang w:val="en-CA"/>
        </w:rPr>
        <w:t>and the two middle age groups are further away from the propo</w:t>
      </w:r>
      <w:r w:rsidR="00651E91">
        <w:rPr>
          <w:lang w:val="en-CA"/>
        </w:rPr>
        <w:t>rtion in the population. Table 2</w:t>
      </w:r>
      <w:r w:rsidR="00335AB6">
        <w:rPr>
          <w:lang w:val="en-CA"/>
        </w:rPr>
        <w:t xml:space="preserve"> shows a small improvement of the</w:t>
      </w:r>
      <w:r w:rsidR="00DD625C">
        <w:rPr>
          <w:lang w:val="en-CA"/>
        </w:rPr>
        <w:t xml:space="preserve"> overrepresentation of females</w:t>
      </w:r>
      <w:r w:rsidR="00CF5362">
        <w:rPr>
          <w:lang w:val="en-CA"/>
        </w:rPr>
        <w:t xml:space="preserve"> currently in the CCHS</w:t>
      </w:r>
      <w:r w:rsidR="00DD625C">
        <w:rPr>
          <w:lang w:val="en-CA"/>
        </w:rPr>
        <w:t xml:space="preserve">. </w:t>
      </w:r>
      <w:r w:rsidR="00335AB6">
        <w:rPr>
          <w:lang w:val="en-CA"/>
        </w:rPr>
        <w:t xml:space="preserve">In </w:t>
      </w:r>
      <w:r w:rsidR="00901526">
        <w:rPr>
          <w:lang w:val="en-CA"/>
        </w:rPr>
        <w:t xml:space="preserve">Table </w:t>
      </w:r>
      <w:r w:rsidR="00651E91">
        <w:rPr>
          <w:lang w:val="en-CA"/>
        </w:rPr>
        <w:t>3</w:t>
      </w:r>
      <w:r w:rsidR="00335AB6">
        <w:rPr>
          <w:lang w:val="en-CA"/>
        </w:rPr>
        <w:t>, we can see</w:t>
      </w:r>
      <w:r w:rsidR="00DD625C">
        <w:rPr>
          <w:lang w:val="en-CA"/>
        </w:rPr>
        <w:t xml:space="preserve"> that the mandatory test sample has a slightly </w:t>
      </w:r>
      <w:r w:rsidR="00EF3D1F">
        <w:rPr>
          <w:lang w:val="en-CA"/>
        </w:rPr>
        <w:t>higher</w:t>
      </w:r>
      <w:r w:rsidR="00DD625C">
        <w:rPr>
          <w:lang w:val="en-CA"/>
        </w:rPr>
        <w:t xml:space="preserve"> proportion of </w:t>
      </w:r>
      <w:r w:rsidR="00EF3D1F">
        <w:rPr>
          <w:lang w:val="en-CA"/>
        </w:rPr>
        <w:t xml:space="preserve">regular </w:t>
      </w:r>
      <w:r w:rsidR="00DD625C">
        <w:rPr>
          <w:lang w:val="en-CA"/>
        </w:rPr>
        <w:t xml:space="preserve">smokers which is consistent with the idea that smokers have a higher probability of </w:t>
      </w:r>
      <w:r w:rsidR="00EF3D1F">
        <w:rPr>
          <w:lang w:val="en-CA"/>
        </w:rPr>
        <w:t xml:space="preserve">being late respondents (or </w:t>
      </w:r>
      <w:r w:rsidR="00DD625C">
        <w:rPr>
          <w:lang w:val="en-CA"/>
        </w:rPr>
        <w:t>not responding</w:t>
      </w:r>
      <w:r w:rsidR="00EF3D1F">
        <w:rPr>
          <w:lang w:val="en-CA"/>
        </w:rPr>
        <w:t>)</w:t>
      </w:r>
      <w:r w:rsidR="0001197C">
        <w:rPr>
          <w:lang w:val="en-CA"/>
        </w:rPr>
        <w:t xml:space="preserve"> to a survey as </w:t>
      </w:r>
      <w:r w:rsidR="00EF3D1F">
        <w:rPr>
          <w:lang w:val="en-CA"/>
        </w:rPr>
        <w:t>highlighted</w:t>
      </w:r>
      <w:r w:rsidR="0001197C">
        <w:rPr>
          <w:lang w:val="en-CA"/>
        </w:rPr>
        <w:t xml:space="preserve"> in </w:t>
      </w:r>
      <w:r w:rsidR="00CF5362">
        <w:rPr>
          <w:noProof/>
          <w:lang w:val="en-CA"/>
        </w:rPr>
        <w:t>Baribeau (2014)</w:t>
      </w:r>
      <w:r w:rsidR="0001197C">
        <w:rPr>
          <w:lang w:val="en-CA"/>
        </w:rPr>
        <w:t>.</w:t>
      </w:r>
      <w:r w:rsidR="00A93B62">
        <w:rPr>
          <w:lang w:val="en-CA"/>
        </w:rPr>
        <w:t xml:space="preserve"> These results are all unweighted, and although adjustments performed to survey weights allow to correct for some of these potential biases (for example for age and sex which are accounted for during weight calibration), </w:t>
      </w:r>
      <w:r w:rsidR="005B0CA5">
        <w:rPr>
          <w:lang w:val="en-CA"/>
        </w:rPr>
        <w:t xml:space="preserve">they cannot be </w:t>
      </w:r>
      <w:r w:rsidR="00A93B62">
        <w:rPr>
          <w:lang w:val="en-CA"/>
        </w:rPr>
        <w:t>fully eliminate</w:t>
      </w:r>
      <w:r w:rsidR="005B0CA5">
        <w:rPr>
          <w:lang w:val="en-CA"/>
        </w:rPr>
        <w:t>d</w:t>
      </w:r>
      <w:r w:rsidR="00A93B62">
        <w:rPr>
          <w:lang w:val="en-CA"/>
        </w:rPr>
        <w:t xml:space="preserve">; </w:t>
      </w:r>
      <w:r w:rsidR="005B0CA5">
        <w:rPr>
          <w:lang w:val="en-CA"/>
        </w:rPr>
        <w:t xml:space="preserve">the expected increase in the </w:t>
      </w:r>
      <w:r w:rsidR="00A93B62">
        <w:rPr>
          <w:lang w:val="en-CA"/>
        </w:rPr>
        <w:t xml:space="preserve">response rate </w:t>
      </w:r>
      <w:r w:rsidR="005B0CA5">
        <w:rPr>
          <w:lang w:val="en-CA"/>
        </w:rPr>
        <w:t xml:space="preserve">from making the survey </w:t>
      </w:r>
      <w:r w:rsidR="00A93B62">
        <w:rPr>
          <w:lang w:val="en-CA"/>
        </w:rPr>
        <w:t xml:space="preserve">mandatory </w:t>
      </w:r>
      <w:r w:rsidR="005B0CA5">
        <w:rPr>
          <w:lang w:val="en-CA"/>
        </w:rPr>
        <w:t>is</w:t>
      </w:r>
      <w:r w:rsidR="00A93B62">
        <w:rPr>
          <w:lang w:val="en-CA"/>
        </w:rPr>
        <w:t xml:space="preserve"> a good step in</w:t>
      </w:r>
      <w:r w:rsidR="005B0CA5">
        <w:rPr>
          <w:lang w:val="en-CA"/>
        </w:rPr>
        <w:t xml:space="preserve">to </w:t>
      </w:r>
      <w:r w:rsidR="00A93B62">
        <w:rPr>
          <w:lang w:val="en-CA"/>
        </w:rPr>
        <w:t xml:space="preserve">coping with </w:t>
      </w:r>
      <w:r w:rsidR="005B0CA5">
        <w:rPr>
          <w:lang w:val="en-CA"/>
        </w:rPr>
        <w:t>these</w:t>
      </w:r>
      <w:r w:rsidR="00A93B62">
        <w:rPr>
          <w:lang w:val="en-CA"/>
        </w:rPr>
        <w:t xml:space="preserve"> potential bias</w:t>
      </w:r>
      <w:r w:rsidR="005B0CA5">
        <w:rPr>
          <w:lang w:val="en-CA"/>
        </w:rPr>
        <w:t>es</w:t>
      </w:r>
      <w:r w:rsidR="00A93B62">
        <w:rPr>
          <w:lang w:val="en-CA"/>
        </w:rPr>
        <w:t>.</w:t>
      </w:r>
    </w:p>
    <w:p w14:paraId="0BC9FF49" w14:textId="3E46C96A" w:rsidR="000D1374" w:rsidRPr="000D1374" w:rsidRDefault="000D1374" w:rsidP="00CA14F9">
      <w:pPr>
        <w:spacing w:after="0"/>
        <w:rPr>
          <w:b/>
          <w:lang w:val="en-CA"/>
        </w:rPr>
      </w:pPr>
      <w:r>
        <w:rPr>
          <w:b/>
          <w:lang w:val="en-CA"/>
        </w:rPr>
        <w:t xml:space="preserve">Table </w:t>
      </w:r>
      <w:r w:rsidR="00651E91">
        <w:rPr>
          <w:b/>
          <w:lang w:val="en-CA"/>
        </w:rPr>
        <w:t>1</w:t>
      </w:r>
      <w:r>
        <w:rPr>
          <w:b/>
          <w:lang w:val="en-CA"/>
        </w:rPr>
        <w:t xml:space="preserve"> – Proportion of respondents by age group</w:t>
      </w:r>
    </w:p>
    <w:tbl>
      <w:tblPr>
        <w:tblStyle w:val="Grilledutableau"/>
        <w:tblW w:w="0" w:type="auto"/>
        <w:tblInd w:w="-5" w:type="dxa"/>
        <w:tblLook w:val="04A0" w:firstRow="1" w:lastRow="0" w:firstColumn="1" w:lastColumn="0" w:noHBand="0" w:noVBand="1"/>
      </w:tblPr>
      <w:tblGrid>
        <w:gridCol w:w="1480"/>
        <w:gridCol w:w="2136"/>
        <w:gridCol w:w="2136"/>
        <w:gridCol w:w="2136"/>
      </w:tblGrid>
      <w:tr w:rsidR="00B82CC1" w14:paraId="2832C3E1"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5F5354EE" w14:textId="77777777" w:rsidR="00B82CC1" w:rsidRDefault="00B82CC1" w:rsidP="00B82CC1">
            <w:r>
              <w:t>Age group</w:t>
            </w:r>
          </w:p>
        </w:tc>
        <w:tc>
          <w:tcPr>
            <w:tcW w:w="2136" w:type="dxa"/>
            <w:tcBorders>
              <w:top w:val="single" w:sz="4" w:space="0" w:color="auto"/>
              <w:left w:val="single" w:sz="4" w:space="0" w:color="auto"/>
              <w:bottom w:val="single" w:sz="4" w:space="0" w:color="auto"/>
              <w:right w:val="single" w:sz="4" w:space="0" w:color="auto"/>
            </w:tcBorders>
            <w:hideMark/>
          </w:tcPr>
          <w:p w14:paraId="1AEE1E42" w14:textId="77777777" w:rsidR="00B82CC1" w:rsidRDefault="00B82CC1" w:rsidP="002D09AC">
            <w:pPr>
              <w:jc w:val="right"/>
            </w:pPr>
            <w:r>
              <w:t>CCHS</w:t>
            </w:r>
          </w:p>
          <w:p w14:paraId="3C0B7DC1" w14:textId="77777777" w:rsidR="00B82CC1" w:rsidRDefault="00B82CC1" w:rsidP="002D09AC">
            <w:pPr>
              <w:jc w:val="right"/>
            </w:pPr>
            <w:r>
              <w:t>(% of respondents)</w:t>
            </w:r>
          </w:p>
        </w:tc>
        <w:tc>
          <w:tcPr>
            <w:tcW w:w="2136" w:type="dxa"/>
            <w:tcBorders>
              <w:top w:val="single" w:sz="4" w:space="0" w:color="auto"/>
              <w:left w:val="single" w:sz="4" w:space="0" w:color="auto"/>
              <w:bottom w:val="single" w:sz="4" w:space="0" w:color="auto"/>
              <w:right w:val="single" w:sz="4" w:space="0" w:color="auto"/>
            </w:tcBorders>
            <w:hideMark/>
          </w:tcPr>
          <w:p w14:paraId="1FE41C4C" w14:textId="77777777" w:rsidR="00B82CC1" w:rsidRDefault="00B82CC1" w:rsidP="002D09AC">
            <w:pPr>
              <w:jc w:val="right"/>
            </w:pPr>
            <w:r>
              <w:t>Mandatory test</w:t>
            </w:r>
          </w:p>
          <w:p w14:paraId="0D1E5885" w14:textId="77777777" w:rsidR="00B82CC1" w:rsidRDefault="00B82CC1" w:rsidP="002D09AC">
            <w:pPr>
              <w:jc w:val="right"/>
            </w:pPr>
            <w:r>
              <w:t>(% of respondents)</w:t>
            </w:r>
          </w:p>
        </w:tc>
        <w:tc>
          <w:tcPr>
            <w:tcW w:w="2136" w:type="dxa"/>
            <w:tcBorders>
              <w:top w:val="single" w:sz="4" w:space="0" w:color="auto"/>
              <w:left w:val="single" w:sz="4" w:space="0" w:color="auto"/>
              <w:bottom w:val="single" w:sz="4" w:space="0" w:color="auto"/>
              <w:right w:val="single" w:sz="4" w:space="0" w:color="auto"/>
            </w:tcBorders>
          </w:tcPr>
          <w:p w14:paraId="60368FAD" w14:textId="77777777" w:rsidR="00B82CC1" w:rsidRDefault="00B82CC1" w:rsidP="00E56483">
            <w:pPr>
              <w:jc w:val="right"/>
            </w:pPr>
            <w:r>
              <w:t>Canada</w:t>
            </w:r>
          </w:p>
        </w:tc>
      </w:tr>
      <w:tr w:rsidR="00B340E5" w14:paraId="30A2A838"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3E915505" w14:textId="77777777" w:rsidR="00B340E5" w:rsidRDefault="00B340E5">
            <w:r>
              <w:t>18-34</w:t>
            </w:r>
          </w:p>
        </w:tc>
        <w:tc>
          <w:tcPr>
            <w:tcW w:w="2136" w:type="dxa"/>
            <w:tcBorders>
              <w:top w:val="single" w:sz="4" w:space="0" w:color="auto"/>
              <w:left w:val="single" w:sz="4" w:space="0" w:color="auto"/>
              <w:bottom w:val="single" w:sz="4" w:space="0" w:color="auto"/>
              <w:right w:val="single" w:sz="4" w:space="0" w:color="auto"/>
            </w:tcBorders>
            <w:hideMark/>
          </w:tcPr>
          <w:p w14:paraId="68778930" w14:textId="77777777" w:rsidR="00B340E5" w:rsidRDefault="00B340E5" w:rsidP="001E0B04">
            <w:pPr>
              <w:jc w:val="right"/>
            </w:pPr>
            <w:r>
              <w:t>21</w:t>
            </w:r>
            <w:r w:rsidR="00E56483">
              <w:t>.</w:t>
            </w:r>
            <w:r w:rsidR="001E0B04">
              <w:t>5</w:t>
            </w:r>
            <w:r>
              <w:t>%</w:t>
            </w:r>
          </w:p>
        </w:tc>
        <w:tc>
          <w:tcPr>
            <w:tcW w:w="2136" w:type="dxa"/>
            <w:tcBorders>
              <w:top w:val="single" w:sz="4" w:space="0" w:color="auto"/>
              <w:left w:val="single" w:sz="4" w:space="0" w:color="auto"/>
              <w:bottom w:val="single" w:sz="4" w:space="0" w:color="auto"/>
              <w:right w:val="single" w:sz="4" w:space="0" w:color="auto"/>
            </w:tcBorders>
            <w:hideMark/>
          </w:tcPr>
          <w:p w14:paraId="4CD6F79D" w14:textId="77777777" w:rsidR="00B340E5" w:rsidRDefault="00B340E5" w:rsidP="001E0B04">
            <w:pPr>
              <w:jc w:val="right"/>
            </w:pPr>
            <w:r>
              <w:t>22</w:t>
            </w:r>
            <w:r w:rsidR="00E56483">
              <w:t>.</w:t>
            </w:r>
            <w:r w:rsidR="001E0B04">
              <w:t>3</w:t>
            </w:r>
            <w:r>
              <w:t>%</w:t>
            </w:r>
          </w:p>
        </w:tc>
        <w:tc>
          <w:tcPr>
            <w:tcW w:w="2136" w:type="dxa"/>
            <w:tcBorders>
              <w:top w:val="single" w:sz="4" w:space="0" w:color="auto"/>
              <w:left w:val="single" w:sz="4" w:space="0" w:color="auto"/>
              <w:bottom w:val="single" w:sz="4" w:space="0" w:color="auto"/>
              <w:right w:val="single" w:sz="4" w:space="0" w:color="auto"/>
            </w:tcBorders>
          </w:tcPr>
          <w:p w14:paraId="6DE62191" w14:textId="77777777" w:rsidR="00B340E5" w:rsidRDefault="00E56483" w:rsidP="00E56483">
            <w:pPr>
              <w:jc w:val="right"/>
            </w:pPr>
            <w:r>
              <w:t>28.8%</w:t>
            </w:r>
          </w:p>
        </w:tc>
      </w:tr>
      <w:tr w:rsidR="00B340E5" w14:paraId="4D494F61"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6B1C3F96" w14:textId="77777777" w:rsidR="00B340E5" w:rsidRDefault="00B340E5">
            <w:r>
              <w:t>35-49</w:t>
            </w:r>
          </w:p>
        </w:tc>
        <w:tc>
          <w:tcPr>
            <w:tcW w:w="2136" w:type="dxa"/>
            <w:tcBorders>
              <w:top w:val="single" w:sz="4" w:space="0" w:color="auto"/>
              <w:left w:val="single" w:sz="4" w:space="0" w:color="auto"/>
              <w:bottom w:val="single" w:sz="4" w:space="0" w:color="auto"/>
              <w:right w:val="single" w:sz="4" w:space="0" w:color="auto"/>
            </w:tcBorders>
            <w:hideMark/>
          </w:tcPr>
          <w:p w14:paraId="35C05621" w14:textId="77777777" w:rsidR="00B340E5" w:rsidRDefault="00B340E5">
            <w:pPr>
              <w:jc w:val="right"/>
            </w:pPr>
            <w:r>
              <w:t>21</w:t>
            </w:r>
            <w:r w:rsidR="00E56483">
              <w:t>.</w:t>
            </w:r>
            <w:r w:rsidR="001E0B04">
              <w:t>8</w:t>
            </w:r>
            <w:r>
              <w:t>%</w:t>
            </w:r>
          </w:p>
        </w:tc>
        <w:tc>
          <w:tcPr>
            <w:tcW w:w="2136" w:type="dxa"/>
            <w:tcBorders>
              <w:top w:val="single" w:sz="4" w:space="0" w:color="auto"/>
              <w:left w:val="single" w:sz="4" w:space="0" w:color="auto"/>
              <w:bottom w:val="single" w:sz="4" w:space="0" w:color="auto"/>
              <w:right w:val="single" w:sz="4" w:space="0" w:color="auto"/>
            </w:tcBorders>
            <w:hideMark/>
          </w:tcPr>
          <w:p w14:paraId="2EB4F48D" w14:textId="77777777" w:rsidR="00B340E5" w:rsidRDefault="00B340E5">
            <w:pPr>
              <w:jc w:val="right"/>
            </w:pPr>
            <w:r>
              <w:t>20</w:t>
            </w:r>
            <w:r w:rsidR="00E56483">
              <w:t>.</w:t>
            </w:r>
            <w:r w:rsidR="001E0B04">
              <w:t>4</w:t>
            </w:r>
            <w:r>
              <w:t>%</w:t>
            </w:r>
          </w:p>
        </w:tc>
        <w:tc>
          <w:tcPr>
            <w:tcW w:w="2136" w:type="dxa"/>
            <w:tcBorders>
              <w:top w:val="single" w:sz="4" w:space="0" w:color="auto"/>
              <w:left w:val="single" w:sz="4" w:space="0" w:color="auto"/>
              <w:bottom w:val="single" w:sz="4" w:space="0" w:color="auto"/>
              <w:right w:val="single" w:sz="4" w:space="0" w:color="auto"/>
            </w:tcBorders>
          </w:tcPr>
          <w:p w14:paraId="6F16806A" w14:textId="77777777" w:rsidR="00B340E5" w:rsidRDefault="00E56483" w:rsidP="00E56483">
            <w:pPr>
              <w:jc w:val="right"/>
            </w:pPr>
            <w:r>
              <w:t>24.9%</w:t>
            </w:r>
          </w:p>
        </w:tc>
      </w:tr>
      <w:tr w:rsidR="00B340E5" w14:paraId="2C0F6901"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1077133C" w14:textId="77777777" w:rsidR="00B340E5" w:rsidRDefault="00B340E5">
            <w:r>
              <w:t>50-64</w:t>
            </w:r>
          </w:p>
        </w:tc>
        <w:tc>
          <w:tcPr>
            <w:tcW w:w="2136" w:type="dxa"/>
            <w:tcBorders>
              <w:top w:val="single" w:sz="4" w:space="0" w:color="auto"/>
              <w:left w:val="single" w:sz="4" w:space="0" w:color="auto"/>
              <w:bottom w:val="single" w:sz="4" w:space="0" w:color="auto"/>
              <w:right w:val="single" w:sz="4" w:space="0" w:color="auto"/>
            </w:tcBorders>
            <w:hideMark/>
          </w:tcPr>
          <w:p w14:paraId="432993DA" w14:textId="77777777" w:rsidR="00B340E5" w:rsidRDefault="00B340E5">
            <w:pPr>
              <w:jc w:val="right"/>
            </w:pPr>
            <w:r>
              <w:t>26</w:t>
            </w:r>
            <w:r w:rsidR="00E56483">
              <w:t>.</w:t>
            </w:r>
            <w:r w:rsidR="001E0B04">
              <w:t>9</w:t>
            </w:r>
            <w:r>
              <w:t>%</w:t>
            </w:r>
          </w:p>
        </w:tc>
        <w:tc>
          <w:tcPr>
            <w:tcW w:w="2136" w:type="dxa"/>
            <w:tcBorders>
              <w:top w:val="single" w:sz="4" w:space="0" w:color="auto"/>
              <w:left w:val="single" w:sz="4" w:space="0" w:color="auto"/>
              <w:bottom w:val="single" w:sz="4" w:space="0" w:color="auto"/>
              <w:right w:val="single" w:sz="4" w:space="0" w:color="auto"/>
            </w:tcBorders>
            <w:hideMark/>
          </w:tcPr>
          <w:p w14:paraId="2D19EEBC" w14:textId="77777777" w:rsidR="00B340E5" w:rsidRDefault="00B340E5">
            <w:pPr>
              <w:jc w:val="right"/>
            </w:pPr>
            <w:r>
              <w:t>28</w:t>
            </w:r>
            <w:r w:rsidR="00E56483">
              <w:t>.</w:t>
            </w:r>
            <w:r w:rsidR="001E0B04">
              <w:t>2</w:t>
            </w:r>
            <w:r>
              <w:t>%</w:t>
            </w:r>
          </w:p>
        </w:tc>
        <w:tc>
          <w:tcPr>
            <w:tcW w:w="2136" w:type="dxa"/>
            <w:tcBorders>
              <w:top w:val="single" w:sz="4" w:space="0" w:color="auto"/>
              <w:left w:val="single" w:sz="4" w:space="0" w:color="auto"/>
              <w:bottom w:val="single" w:sz="4" w:space="0" w:color="auto"/>
              <w:right w:val="single" w:sz="4" w:space="0" w:color="auto"/>
            </w:tcBorders>
          </w:tcPr>
          <w:p w14:paraId="56E86249" w14:textId="77777777" w:rsidR="00B340E5" w:rsidRDefault="00E56483" w:rsidP="00E56483">
            <w:pPr>
              <w:jc w:val="right"/>
            </w:pPr>
            <w:r>
              <w:t>26.5%</w:t>
            </w:r>
          </w:p>
        </w:tc>
      </w:tr>
      <w:tr w:rsidR="00B340E5" w14:paraId="109BA261"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663C2713" w14:textId="77777777" w:rsidR="00B340E5" w:rsidRDefault="00B340E5">
            <w:r>
              <w:t>65+</w:t>
            </w:r>
          </w:p>
        </w:tc>
        <w:tc>
          <w:tcPr>
            <w:tcW w:w="2136" w:type="dxa"/>
            <w:tcBorders>
              <w:top w:val="single" w:sz="4" w:space="0" w:color="auto"/>
              <w:left w:val="single" w:sz="4" w:space="0" w:color="auto"/>
              <w:bottom w:val="single" w:sz="4" w:space="0" w:color="auto"/>
              <w:right w:val="single" w:sz="4" w:space="0" w:color="auto"/>
            </w:tcBorders>
            <w:hideMark/>
          </w:tcPr>
          <w:p w14:paraId="2CB3EA55" w14:textId="77777777" w:rsidR="00B340E5" w:rsidRDefault="00B340E5" w:rsidP="001E0B04">
            <w:pPr>
              <w:jc w:val="right"/>
            </w:pPr>
            <w:r>
              <w:t>29</w:t>
            </w:r>
            <w:r w:rsidR="00E56483">
              <w:t>.</w:t>
            </w:r>
            <w:r>
              <w:t>9%</w:t>
            </w:r>
          </w:p>
        </w:tc>
        <w:tc>
          <w:tcPr>
            <w:tcW w:w="2136" w:type="dxa"/>
            <w:tcBorders>
              <w:top w:val="single" w:sz="4" w:space="0" w:color="auto"/>
              <w:left w:val="single" w:sz="4" w:space="0" w:color="auto"/>
              <w:bottom w:val="single" w:sz="4" w:space="0" w:color="auto"/>
              <w:right w:val="single" w:sz="4" w:space="0" w:color="auto"/>
            </w:tcBorders>
            <w:hideMark/>
          </w:tcPr>
          <w:p w14:paraId="0D317DF9" w14:textId="77777777" w:rsidR="00B340E5" w:rsidRDefault="00B340E5">
            <w:pPr>
              <w:jc w:val="right"/>
            </w:pPr>
            <w:r>
              <w:t>29</w:t>
            </w:r>
            <w:r w:rsidR="00E56483">
              <w:t>.</w:t>
            </w:r>
            <w:r w:rsidR="001E0B04">
              <w:t>1</w:t>
            </w:r>
            <w:r>
              <w:t>%</w:t>
            </w:r>
          </w:p>
        </w:tc>
        <w:tc>
          <w:tcPr>
            <w:tcW w:w="2136" w:type="dxa"/>
            <w:tcBorders>
              <w:top w:val="single" w:sz="4" w:space="0" w:color="auto"/>
              <w:left w:val="single" w:sz="4" w:space="0" w:color="auto"/>
              <w:bottom w:val="single" w:sz="4" w:space="0" w:color="auto"/>
              <w:right w:val="single" w:sz="4" w:space="0" w:color="auto"/>
            </w:tcBorders>
          </w:tcPr>
          <w:p w14:paraId="3EBA6AAF" w14:textId="77777777" w:rsidR="00B340E5" w:rsidRDefault="00E56483" w:rsidP="00E56483">
            <w:pPr>
              <w:jc w:val="right"/>
            </w:pPr>
            <w:r>
              <w:t>19.8%</w:t>
            </w:r>
          </w:p>
        </w:tc>
      </w:tr>
    </w:tbl>
    <w:p w14:paraId="4EF7AE2F" w14:textId="598A8C8F" w:rsidR="000D1374" w:rsidRPr="000D1374" w:rsidRDefault="00651E91" w:rsidP="00CA14F9">
      <w:pPr>
        <w:spacing w:before="160" w:after="0"/>
        <w:rPr>
          <w:b/>
          <w:lang w:val="en-CA"/>
        </w:rPr>
      </w:pPr>
      <w:r>
        <w:rPr>
          <w:b/>
          <w:lang w:val="en-CA"/>
        </w:rPr>
        <w:t>Table 2</w:t>
      </w:r>
      <w:r w:rsidR="000D1374">
        <w:rPr>
          <w:b/>
          <w:lang w:val="en-CA"/>
        </w:rPr>
        <w:t xml:space="preserve"> – Proportion of respondents by sex</w:t>
      </w:r>
    </w:p>
    <w:tbl>
      <w:tblPr>
        <w:tblStyle w:val="Grilledutableau"/>
        <w:tblW w:w="0" w:type="auto"/>
        <w:tblInd w:w="-5" w:type="dxa"/>
        <w:tblLook w:val="04A0" w:firstRow="1" w:lastRow="0" w:firstColumn="1" w:lastColumn="0" w:noHBand="0" w:noVBand="1"/>
      </w:tblPr>
      <w:tblGrid>
        <w:gridCol w:w="1480"/>
        <w:gridCol w:w="2136"/>
        <w:gridCol w:w="2136"/>
        <w:gridCol w:w="2136"/>
      </w:tblGrid>
      <w:tr w:rsidR="00B340E5" w14:paraId="7B67478C"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0EE229C1" w14:textId="77777777" w:rsidR="00B340E5" w:rsidRPr="00E6369C" w:rsidRDefault="00B82CC1">
            <w:pPr>
              <w:rPr>
                <w:lang w:val="en-CA"/>
              </w:rPr>
            </w:pPr>
            <w:r w:rsidRPr="00E6369C">
              <w:rPr>
                <w:lang w:val="en-CA"/>
              </w:rPr>
              <w:t>Sex</w:t>
            </w:r>
          </w:p>
        </w:tc>
        <w:tc>
          <w:tcPr>
            <w:tcW w:w="2136" w:type="dxa"/>
            <w:tcBorders>
              <w:top w:val="single" w:sz="4" w:space="0" w:color="auto"/>
              <w:left w:val="single" w:sz="4" w:space="0" w:color="auto"/>
              <w:bottom w:val="single" w:sz="4" w:space="0" w:color="auto"/>
              <w:right w:val="single" w:sz="4" w:space="0" w:color="auto"/>
            </w:tcBorders>
            <w:hideMark/>
          </w:tcPr>
          <w:p w14:paraId="15687B13" w14:textId="77777777" w:rsidR="00B340E5" w:rsidRPr="00E6369C" w:rsidRDefault="00B340E5" w:rsidP="002D09AC">
            <w:pPr>
              <w:jc w:val="right"/>
              <w:rPr>
                <w:lang w:val="en-CA"/>
              </w:rPr>
            </w:pPr>
            <w:r w:rsidRPr="00E6369C">
              <w:rPr>
                <w:lang w:val="en-CA"/>
              </w:rPr>
              <w:t>CCHS</w:t>
            </w:r>
          </w:p>
          <w:p w14:paraId="644656F3" w14:textId="77777777" w:rsidR="00B340E5" w:rsidRPr="00E6369C" w:rsidRDefault="00B340E5" w:rsidP="002D09AC">
            <w:pPr>
              <w:jc w:val="right"/>
              <w:rPr>
                <w:lang w:val="en-CA"/>
              </w:rPr>
            </w:pPr>
            <w:r w:rsidRPr="00E6369C">
              <w:rPr>
                <w:lang w:val="en-CA"/>
              </w:rPr>
              <w:t xml:space="preserve">(% </w:t>
            </w:r>
            <w:r w:rsidR="00B82CC1" w:rsidRPr="00E6369C">
              <w:rPr>
                <w:lang w:val="en-CA"/>
              </w:rPr>
              <w:t>of respondents</w:t>
            </w:r>
            <w:r w:rsidRPr="00E6369C">
              <w:rPr>
                <w:lang w:val="en-CA"/>
              </w:rPr>
              <w:t>)</w:t>
            </w:r>
          </w:p>
        </w:tc>
        <w:tc>
          <w:tcPr>
            <w:tcW w:w="2136" w:type="dxa"/>
            <w:tcBorders>
              <w:top w:val="single" w:sz="4" w:space="0" w:color="auto"/>
              <w:left w:val="single" w:sz="4" w:space="0" w:color="auto"/>
              <w:bottom w:val="single" w:sz="4" w:space="0" w:color="auto"/>
              <w:right w:val="single" w:sz="4" w:space="0" w:color="auto"/>
            </w:tcBorders>
            <w:hideMark/>
          </w:tcPr>
          <w:p w14:paraId="79829A51" w14:textId="77777777" w:rsidR="00B340E5" w:rsidRPr="00E6369C" w:rsidRDefault="00B82CC1" w:rsidP="002D09AC">
            <w:pPr>
              <w:jc w:val="right"/>
              <w:rPr>
                <w:lang w:val="en-CA"/>
              </w:rPr>
            </w:pPr>
            <w:r w:rsidRPr="00E6369C">
              <w:rPr>
                <w:lang w:val="en-CA"/>
              </w:rPr>
              <w:t>Mandatory test</w:t>
            </w:r>
          </w:p>
          <w:p w14:paraId="226700CD" w14:textId="77777777" w:rsidR="00B340E5" w:rsidRPr="00E6369C" w:rsidRDefault="00B340E5" w:rsidP="002D09AC">
            <w:pPr>
              <w:jc w:val="right"/>
              <w:rPr>
                <w:lang w:val="en-CA"/>
              </w:rPr>
            </w:pPr>
            <w:r w:rsidRPr="00E6369C">
              <w:rPr>
                <w:lang w:val="en-CA"/>
              </w:rPr>
              <w:t xml:space="preserve">(% </w:t>
            </w:r>
            <w:r w:rsidR="00B82CC1" w:rsidRPr="00E6369C">
              <w:rPr>
                <w:lang w:val="en-CA"/>
              </w:rPr>
              <w:t>of respondents</w:t>
            </w:r>
            <w:r w:rsidRPr="00E6369C">
              <w:rPr>
                <w:lang w:val="en-CA"/>
              </w:rPr>
              <w:t>)</w:t>
            </w:r>
          </w:p>
        </w:tc>
        <w:tc>
          <w:tcPr>
            <w:tcW w:w="2136" w:type="dxa"/>
            <w:tcBorders>
              <w:top w:val="single" w:sz="4" w:space="0" w:color="auto"/>
              <w:left w:val="single" w:sz="4" w:space="0" w:color="auto"/>
              <w:bottom w:val="single" w:sz="4" w:space="0" w:color="auto"/>
              <w:right w:val="single" w:sz="4" w:space="0" w:color="auto"/>
            </w:tcBorders>
          </w:tcPr>
          <w:p w14:paraId="64967730" w14:textId="77777777" w:rsidR="00B340E5" w:rsidRPr="00E6369C" w:rsidRDefault="00B340E5" w:rsidP="00E56483">
            <w:pPr>
              <w:jc w:val="right"/>
              <w:rPr>
                <w:lang w:val="en-CA"/>
              </w:rPr>
            </w:pPr>
            <w:r w:rsidRPr="00E6369C">
              <w:rPr>
                <w:lang w:val="en-CA"/>
              </w:rPr>
              <w:t>Canada</w:t>
            </w:r>
          </w:p>
        </w:tc>
      </w:tr>
      <w:tr w:rsidR="00B340E5" w14:paraId="10ECEA5A"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4430C144" w14:textId="77777777" w:rsidR="00B340E5" w:rsidRPr="00E6369C" w:rsidRDefault="00B82CC1">
            <w:pPr>
              <w:rPr>
                <w:lang w:val="en-CA"/>
              </w:rPr>
            </w:pPr>
            <w:r w:rsidRPr="00E6369C">
              <w:rPr>
                <w:lang w:val="en-CA"/>
              </w:rPr>
              <w:t>Male</w:t>
            </w:r>
          </w:p>
        </w:tc>
        <w:tc>
          <w:tcPr>
            <w:tcW w:w="2136" w:type="dxa"/>
            <w:tcBorders>
              <w:top w:val="single" w:sz="4" w:space="0" w:color="auto"/>
              <w:left w:val="single" w:sz="4" w:space="0" w:color="auto"/>
              <w:bottom w:val="single" w:sz="4" w:space="0" w:color="auto"/>
              <w:right w:val="single" w:sz="4" w:space="0" w:color="auto"/>
            </w:tcBorders>
            <w:hideMark/>
          </w:tcPr>
          <w:p w14:paraId="1D732DD7" w14:textId="77777777" w:rsidR="00B340E5" w:rsidRPr="00E6369C" w:rsidRDefault="00B340E5">
            <w:pPr>
              <w:jc w:val="right"/>
              <w:rPr>
                <w:lang w:val="en-CA"/>
              </w:rPr>
            </w:pPr>
            <w:r w:rsidRPr="00E6369C">
              <w:rPr>
                <w:lang w:val="en-CA"/>
              </w:rPr>
              <w:t>45</w:t>
            </w:r>
            <w:r w:rsidR="002D09AC" w:rsidRPr="00E6369C">
              <w:rPr>
                <w:lang w:val="en-CA"/>
              </w:rPr>
              <w:t>.</w:t>
            </w:r>
            <w:r w:rsidR="001E0B04" w:rsidRPr="00E6369C">
              <w:rPr>
                <w:lang w:val="en-CA"/>
              </w:rPr>
              <w:t>8</w:t>
            </w:r>
            <w:r w:rsidRPr="00E6369C">
              <w:rPr>
                <w:lang w:val="en-CA"/>
              </w:rPr>
              <w:t>%</w:t>
            </w:r>
          </w:p>
        </w:tc>
        <w:tc>
          <w:tcPr>
            <w:tcW w:w="2136" w:type="dxa"/>
            <w:tcBorders>
              <w:top w:val="single" w:sz="4" w:space="0" w:color="auto"/>
              <w:left w:val="single" w:sz="4" w:space="0" w:color="auto"/>
              <w:bottom w:val="single" w:sz="4" w:space="0" w:color="auto"/>
              <w:right w:val="single" w:sz="4" w:space="0" w:color="auto"/>
            </w:tcBorders>
            <w:hideMark/>
          </w:tcPr>
          <w:p w14:paraId="66B2464D" w14:textId="77777777" w:rsidR="00B340E5" w:rsidRPr="00E6369C" w:rsidRDefault="001E0B04">
            <w:pPr>
              <w:jc w:val="right"/>
              <w:rPr>
                <w:lang w:val="en-CA"/>
              </w:rPr>
            </w:pPr>
            <w:r w:rsidRPr="00E6369C">
              <w:rPr>
                <w:lang w:val="en-CA"/>
              </w:rPr>
              <w:t>47.0</w:t>
            </w:r>
            <w:r w:rsidR="00B340E5" w:rsidRPr="00E6369C">
              <w:rPr>
                <w:lang w:val="en-CA"/>
              </w:rPr>
              <w:t>%</w:t>
            </w:r>
          </w:p>
        </w:tc>
        <w:tc>
          <w:tcPr>
            <w:tcW w:w="2136" w:type="dxa"/>
            <w:tcBorders>
              <w:top w:val="single" w:sz="4" w:space="0" w:color="auto"/>
              <w:left w:val="single" w:sz="4" w:space="0" w:color="auto"/>
              <w:bottom w:val="single" w:sz="4" w:space="0" w:color="auto"/>
              <w:right w:val="single" w:sz="4" w:space="0" w:color="auto"/>
            </w:tcBorders>
          </w:tcPr>
          <w:p w14:paraId="603FF6D3" w14:textId="77777777" w:rsidR="00B340E5" w:rsidRPr="00E6369C" w:rsidRDefault="002D09AC" w:rsidP="00E56483">
            <w:pPr>
              <w:jc w:val="right"/>
              <w:rPr>
                <w:lang w:val="en-CA"/>
              </w:rPr>
            </w:pPr>
            <w:r w:rsidRPr="00E6369C">
              <w:rPr>
                <w:lang w:val="en-CA"/>
              </w:rPr>
              <w:t>49.2%</w:t>
            </w:r>
          </w:p>
        </w:tc>
      </w:tr>
      <w:tr w:rsidR="00B340E5" w14:paraId="0C2F25A5" w14:textId="77777777" w:rsidTr="000D1374">
        <w:tc>
          <w:tcPr>
            <w:tcW w:w="1480" w:type="dxa"/>
            <w:tcBorders>
              <w:top w:val="single" w:sz="4" w:space="0" w:color="auto"/>
              <w:left w:val="single" w:sz="4" w:space="0" w:color="auto"/>
              <w:bottom w:val="single" w:sz="4" w:space="0" w:color="auto"/>
              <w:right w:val="single" w:sz="4" w:space="0" w:color="auto"/>
            </w:tcBorders>
            <w:hideMark/>
          </w:tcPr>
          <w:p w14:paraId="6BE72F2C" w14:textId="77777777" w:rsidR="00B340E5" w:rsidRPr="00E6369C" w:rsidRDefault="00B82CC1">
            <w:pPr>
              <w:rPr>
                <w:lang w:val="en-CA"/>
              </w:rPr>
            </w:pPr>
            <w:r w:rsidRPr="00E6369C">
              <w:rPr>
                <w:lang w:val="en-CA"/>
              </w:rPr>
              <w:t>Female</w:t>
            </w:r>
          </w:p>
        </w:tc>
        <w:tc>
          <w:tcPr>
            <w:tcW w:w="2136" w:type="dxa"/>
            <w:tcBorders>
              <w:top w:val="single" w:sz="4" w:space="0" w:color="auto"/>
              <w:left w:val="single" w:sz="4" w:space="0" w:color="auto"/>
              <w:bottom w:val="single" w:sz="4" w:space="0" w:color="auto"/>
              <w:right w:val="single" w:sz="4" w:space="0" w:color="auto"/>
            </w:tcBorders>
            <w:hideMark/>
          </w:tcPr>
          <w:p w14:paraId="1F0998D5" w14:textId="77777777" w:rsidR="00B340E5" w:rsidRPr="00E6369C" w:rsidRDefault="00B340E5">
            <w:pPr>
              <w:jc w:val="right"/>
              <w:rPr>
                <w:lang w:val="en-CA"/>
              </w:rPr>
            </w:pPr>
            <w:r w:rsidRPr="00E6369C">
              <w:rPr>
                <w:lang w:val="en-CA"/>
              </w:rPr>
              <w:t>54</w:t>
            </w:r>
            <w:r w:rsidR="002D09AC" w:rsidRPr="00E6369C">
              <w:rPr>
                <w:lang w:val="en-CA"/>
              </w:rPr>
              <w:t>.</w:t>
            </w:r>
            <w:r w:rsidR="001E0B04" w:rsidRPr="00E6369C">
              <w:rPr>
                <w:lang w:val="en-CA"/>
              </w:rPr>
              <w:t>2</w:t>
            </w:r>
            <w:r w:rsidRPr="00E6369C">
              <w:rPr>
                <w:lang w:val="en-CA"/>
              </w:rPr>
              <w:t>%</w:t>
            </w:r>
          </w:p>
        </w:tc>
        <w:tc>
          <w:tcPr>
            <w:tcW w:w="2136" w:type="dxa"/>
            <w:tcBorders>
              <w:top w:val="single" w:sz="4" w:space="0" w:color="auto"/>
              <w:left w:val="single" w:sz="4" w:space="0" w:color="auto"/>
              <w:bottom w:val="single" w:sz="4" w:space="0" w:color="auto"/>
              <w:right w:val="single" w:sz="4" w:space="0" w:color="auto"/>
            </w:tcBorders>
            <w:hideMark/>
          </w:tcPr>
          <w:p w14:paraId="4E38E1F2" w14:textId="77777777" w:rsidR="00B340E5" w:rsidRPr="00E6369C" w:rsidRDefault="00B340E5" w:rsidP="001E0B04">
            <w:pPr>
              <w:jc w:val="right"/>
              <w:rPr>
                <w:lang w:val="en-CA"/>
              </w:rPr>
            </w:pPr>
            <w:r w:rsidRPr="00E6369C">
              <w:rPr>
                <w:lang w:val="en-CA"/>
              </w:rPr>
              <w:t>53</w:t>
            </w:r>
            <w:r w:rsidR="002D09AC" w:rsidRPr="00E6369C">
              <w:rPr>
                <w:lang w:val="en-CA"/>
              </w:rPr>
              <w:t>.</w:t>
            </w:r>
            <w:r w:rsidRPr="00E6369C">
              <w:rPr>
                <w:lang w:val="en-CA"/>
              </w:rPr>
              <w:t>0%</w:t>
            </w:r>
          </w:p>
        </w:tc>
        <w:tc>
          <w:tcPr>
            <w:tcW w:w="2136" w:type="dxa"/>
            <w:tcBorders>
              <w:top w:val="single" w:sz="4" w:space="0" w:color="auto"/>
              <w:left w:val="single" w:sz="4" w:space="0" w:color="auto"/>
              <w:bottom w:val="single" w:sz="4" w:space="0" w:color="auto"/>
              <w:right w:val="single" w:sz="4" w:space="0" w:color="auto"/>
            </w:tcBorders>
          </w:tcPr>
          <w:p w14:paraId="7740CE16" w14:textId="77777777" w:rsidR="00B340E5" w:rsidRPr="00E6369C" w:rsidRDefault="002D09AC" w:rsidP="00E56483">
            <w:pPr>
              <w:jc w:val="right"/>
              <w:rPr>
                <w:lang w:val="en-CA"/>
              </w:rPr>
            </w:pPr>
            <w:r w:rsidRPr="00E6369C">
              <w:rPr>
                <w:lang w:val="en-CA"/>
              </w:rPr>
              <w:t>50.8%</w:t>
            </w:r>
          </w:p>
        </w:tc>
      </w:tr>
    </w:tbl>
    <w:p w14:paraId="010D36FA" w14:textId="1C3DC0AA" w:rsidR="000D1374" w:rsidRPr="000D1374" w:rsidRDefault="00901526" w:rsidP="00CA14F9">
      <w:pPr>
        <w:spacing w:before="160" w:after="0"/>
        <w:rPr>
          <w:b/>
          <w:lang w:val="en-CA"/>
        </w:rPr>
      </w:pPr>
      <w:r>
        <w:rPr>
          <w:b/>
          <w:lang w:val="en-CA"/>
        </w:rPr>
        <w:t>Table</w:t>
      </w:r>
      <w:r w:rsidR="00651E91">
        <w:rPr>
          <w:b/>
          <w:lang w:val="en-CA"/>
        </w:rPr>
        <w:t xml:space="preserve"> 3</w:t>
      </w:r>
      <w:r w:rsidR="000D1374">
        <w:rPr>
          <w:b/>
          <w:lang w:val="en-CA"/>
        </w:rPr>
        <w:t xml:space="preserve"> – Proportion of respondents by smoking status</w:t>
      </w:r>
    </w:p>
    <w:tbl>
      <w:tblPr>
        <w:tblStyle w:val="Grilledutableau"/>
        <w:tblW w:w="0" w:type="auto"/>
        <w:tblInd w:w="-5" w:type="dxa"/>
        <w:tblLayout w:type="fixed"/>
        <w:tblLook w:val="04A0" w:firstRow="1" w:lastRow="0" w:firstColumn="1" w:lastColumn="0" w:noHBand="0" w:noVBand="1"/>
      </w:tblPr>
      <w:tblGrid>
        <w:gridCol w:w="1418"/>
        <w:gridCol w:w="2126"/>
        <w:gridCol w:w="2126"/>
      </w:tblGrid>
      <w:tr w:rsidR="00B82CC1" w14:paraId="7594ACB7" w14:textId="77777777" w:rsidTr="000D1374">
        <w:tc>
          <w:tcPr>
            <w:tcW w:w="1418" w:type="dxa"/>
            <w:tcBorders>
              <w:top w:val="single" w:sz="4" w:space="0" w:color="auto"/>
              <w:left w:val="single" w:sz="4" w:space="0" w:color="auto"/>
              <w:bottom w:val="single" w:sz="4" w:space="0" w:color="auto"/>
              <w:right w:val="single" w:sz="4" w:space="0" w:color="auto"/>
            </w:tcBorders>
            <w:hideMark/>
          </w:tcPr>
          <w:p w14:paraId="7302C9CB" w14:textId="77777777" w:rsidR="00B82CC1" w:rsidRDefault="000D1374">
            <w:r>
              <w:t>Smoking</w:t>
            </w:r>
          </w:p>
        </w:tc>
        <w:tc>
          <w:tcPr>
            <w:tcW w:w="2126" w:type="dxa"/>
            <w:tcBorders>
              <w:top w:val="single" w:sz="4" w:space="0" w:color="auto"/>
              <w:left w:val="single" w:sz="4" w:space="0" w:color="auto"/>
              <w:bottom w:val="single" w:sz="4" w:space="0" w:color="auto"/>
              <w:right w:val="single" w:sz="4" w:space="0" w:color="auto"/>
            </w:tcBorders>
            <w:hideMark/>
          </w:tcPr>
          <w:p w14:paraId="4D045AB2" w14:textId="77777777" w:rsidR="00B82CC1" w:rsidRDefault="00B82CC1" w:rsidP="009B2972">
            <w:pPr>
              <w:jc w:val="right"/>
            </w:pPr>
            <w:r>
              <w:t>CCHS</w:t>
            </w:r>
          </w:p>
          <w:p w14:paraId="3B183DE6" w14:textId="77777777" w:rsidR="00B82CC1" w:rsidRDefault="00B82CC1" w:rsidP="009B2972">
            <w:pPr>
              <w:jc w:val="right"/>
            </w:pPr>
            <w:r>
              <w:t xml:space="preserve">(% </w:t>
            </w:r>
            <w:r w:rsidR="000D1374">
              <w:t>of respondents</w:t>
            </w:r>
            <w:r>
              <w:t>)</w:t>
            </w:r>
          </w:p>
        </w:tc>
        <w:tc>
          <w:tcPr>
            <w:tcW w:w="2126" w:type="dxa"/>
            <w:tcBorders>
              <w:top w:val="single" w:sz="4" w:space="0" w:color="auto"/>
              <w:left w:val="single" w:sz="4" w:space="0" w:color="auto"/>
              <w:bottom w:val="single" w:sz="4" w:space="0" w:color="auto"/>
              <w:right w:val="single" w:sz="4" w:space="0" w:color="auto"/>
            </w:tcBorders>
            <w:hideMark/>
          </w:tcPr>
          <w:p w14:paraId="2C0B753A" w14:textId="77777777" w:rsidR="00B82CC1" w:rsidRDefault="00DD625C" w:rsidP="009B2972">
            <w:pPr>
              <w:jc w:val="right"/>
            </w:pPr>
            <w:r>
              <w:t>Mandatory test</w:t>
            </w:r>
          </w:p>
          <w:p w14:paraId="4E9CEF49" w14:textId="77777777" w:rsidR="00B82CC1" w:rsidRDefault="00B82CC1" w:rsidP="009B2972">
            <w:pPr>
              <w:jc w:val="right"/>
            </w:pPr>
            <w:r>
              <w:t xml:space="preserve">(% </w:t>
            </w:r>
            <w:r w:rsidR="000D1374">
              <w:t>of respondents</w:t>
            </w:r>
            <w:r>
              <w:t>)</w:t>
            </w:r>
          </w:p>
        </w:tc>
      </w:tr>
      <w:tr w:rsidR="00B82CC1" w14:paraId="208BAB58" w14:textId="77777777" w:rsidTr="000D1374">
        <w:tc>
          <w:tcPr>
            <w:tcW w:w="1418" w:type="dxa"/>
            <w:tcBorders>
              <w:top w:val="single" w:sz="4" w:space="0" w:color="auto"/>
              <w:left w:val="single" w:sz="4" w:space="0" w:color="auto"/>
              <w:bottom w:val="single" w:sz="4" w:space="0" w:color="auto"/>
              <w:right w:val="single" w:sz="4" w:space="0" w:color="auto"/>
            </w:tcBorders>
            <w:hideMark/>
          </w:tcPr>
          <w:p w14:paraId="63B2E994" w14:textId="77777777" w:rsidR="00B82CC1" w:rsidRDefault="000D1374">
            <w:r>
              <w:t>Daily</w:t>
            </w:r>
          </w:p>
        </w:tc>
        <w:tc>
          <w:tcPr>
            <w:tcW w:w="2126" w:type="dxa"/>
            <w:tcBorders>
              <w:top w:val="single" w:sz="4" w:space="0" w:color="auto"/>
              <w:left w:val="single" w:sz="4" w:space="0" w:color="auto"/>
              <w:bottom w:val="single" w:sz="4" w:space="0" w:color="auto"/>
              <w:right w:val="single" w:sz="4" w:space="0" w:color="auto"/>
            </w:tcBorders>
            <w:hideMark/>
          </w:tcPr>
          <w:p w14:paraId="61B7D1C4" w14:textId="77777777" w:rsidR="00B82CC1" w:rsidRDefault="00B82CC1">
            <w:pPr>
              <w:jc w:val="right"/>
            </w:pPr>
            <w:r>
              <w:t>13,15%</w:t>
            </w:r>
          </w:p>
        </w:tc>
        <w:tc>
          <w:tcPr>
            <w:tcW w:w="2126" w:type="dxa"/>
            <w:tcBorders>
              <w:top w:val="single" w:sz="4" w:space="0" w:color="auto"/>
              <w:left w:val="single" w:sz="4" w:space="0" w:color="auto"/>
              <w:bottom w:val="single" w:sz="4" w:space="0" w:color="auto"/>
              <w:right w:val="single" w:sz="4" w:space="0" w:color="auto"/>
            </w:tcBorders>
            <w:hideMark/>
          </w:tcPr>
          <w:p w14:paraId="63F747D5" w14:textId="77777777" w:rsidR="00B82CC1" w:rsidRDefault="00B82CC1">
            <w:pPr>
              <w:jc w:val="right"/>
            </w:pPr>
            <w:r>
              <w:t>14,98%</w:t>
            </w:r>
          </w:p>
        </w:tc>
      </w:tr>
      <w:tr w:rsidR="00B82CC1" w14:paraId="1BBC1FFF" w14:textId="77777777" w:rsidTr="000D1374">
        <w:tc>
          <w:tcPr>
            <w:tcW w:w="1418" w:type="dxa"/>
            <w:tcBorders>
              <w:top w:val="single" w:sz="4" w:space="0" w:color="auto"/>
              <w:left w:val="single" w:sz="4" w:space="0" w:color="auto"/>
              <w:bottom w:val="single" w:sz="4" w:space="0" w:color="auto"/>
              <w:right w:val="single" w:sz="4" w:space="0" w:color="auto"/>
            </w:tcBorders>
            <w:hideMark/>
          </w:tcPr>
          <w:p w14:paraId="29391734" w14:textId="77777777" w:rsidR="00B82CC1" w:rsidRDefault="000D1374">
            <w:r>
              <w:t>Occasionally</w:t>
            </w:r>
          </w:p>
        </w:tc>
        <w:tc>
          <w:tcPr>
            <w:tcW w:w="2126" w:type="dxa"/>
            <w:tcBorders>
              <w:top w:val="single" w:sz="4" w:space="0" w:color="auto"/>
              <w:left w:val="single" w:sz="4" w:space="0" w:color="auto"/>
              <w:bottom w:val="single" w:sz="4" w:space="0" w:color="auto"/>
              <w:right w:val="single" w:sz="4" w:space="0" w:color="auto"/>
            </w:tcBorders>
            <w:hideMark/>
          </w:tcPr>
          <w:p w14:paraId="0E3BDD44" w14:textId="77777777" w:rsidR="00B82CC1" w:rsidRDefault="00B82CC1">
            <w:pPr>
              <w:jc w:val="right"/>
            </w:pPr>
            <w:r>
              <w:t>4,62%</w:t>
            </w:r>
          </w:p>
        </w:tc>
        <w:tc>
          <w:tcPr>
            <w:tcW w:w="2126" w:type="dxa"/>
            <w:tcBorders>
              <w:top w:val="single" w:sz="4" w:space="0" w:color="auto"/>
              <w:left w:val="single" w:sz="4" w:space="0" w:color="auto"/>
              <w:bottom w:val="single" w:sz="4" w:space="0" w:color="auto"/>
              <w:right w:val="single" w:sz="4" w:space="0" w:color="auto"/>
            </w:tcBorders>
            <w:hideMark/>
          </w:tcPr>
          <w:p w14:paraId="29A43619" w14:textId="77777777" w:rsidR="00B82CC1" w:rsidRDefault="00B82CC1">
            <w:pPr>
              <w:jc w:val="right"/>
            </w:pPr>
            <w:r>
              <w:t>4,15%</w:t>
            </w:r>
          </w:p>
        </w:tc>
      </w:tr>
      <w:tr w:rsidR="00B82CC1" w14:paraId="0654AA76" w14:textId="77777777" w:rsidTr="000D1374">
        <w:tc>
          <w:tcPr>
            <w:tcW w:w="1418" w:type="dxa"/>
            <w:tcBorders>
              <w:top w:val="single" w:sz="4" w:space="0" w:color="auto"/>
              <w:left w:val="single" w:sz="4" w:space="0" w:color="auto"/>
              <w:bottom w:val="single" w:sz="4" w:space="0" w:color="auto"/>
              <w:right w:val="single" w:sz="4" w:space="0" w:color="auto"/>
            </w:tcBorders>
            <w:hideMark/>
          </w:tcPr>
          <w:p w14:paraId="1B2434FC" w14:textId="77777777" w:rsidR="00B82CC1" w:rsidRDefault="000D1374">
            <w:r>
              <w:t>Not at all</w:t>
            </w:r>
          </w:p>
        </w:tc>
        <w:tc>
          <w:tcPr>
            <w:tcW w:w="2126" w:type="dxa"/>
            <w:tcBorders>
              <w:top w:val="single" w:sz="4" w:space="0" w:color="auto"/>
              <w:left w:val="single" w:sz="4" w:space="0" w:color="auto"/>
              <w:bottom w:val="single" w:sz="4" w:space="0" w:color="auto"/>
              <w:right w:val="single" w:sz="4" w:space="0" w:color="auto"/>
            </w:tcBorders>
            <w:hideMark/>
          </w:tcPr>
          <w:p w14:paraId="571155A0" w14:textId="77777777" w:rsidR="00B82CC1" w:rsidRDefault="00B82CC1">
            <w:pPr>
              <w:jc w:val="right"/>
            </w:pPr>
            <w:r>
              <w:t>82,18%</w:t>
            </w:r>
          </w:p>
        </w:tc>
        <w:tc>
          <w:tcPr>
            <w:tcW w:w="2126" w:type="dxa"/>
            <w:tcBorders>
              <w:top w:val="single" w:sz="4" w:space="0" w:color="auto"/>
              <w:left w:val="single" w:sz="4" w:space="0" w:color="auto"/>
              <w:bottom w:val="single" w:sz="4" w:space="0" w:color="auto"/>
              <w:right w:val="single" w:sz="4" w:space="0" w:color="auto"/>
            </w:tcBorders>
            <w:hideMark/>
          </w:tcPr>
          <w:p w14:paraId="4F0ED02A" w14:textId="77777777" w:rsidR="00B82CC1" w:rsidRDefault="00B82CC1">
            <w:pPr>
              <w:jc w:val="right"/>
            </w:pPr>
            <w:r>
              <w:t>80,88%</w:t>
            </w:r>
          </w:p>
        </w:tc>
      </w:tr>
      <w:tr w:rsidR="00B82CC1" w14:paraId="3AC4A095" w14:textId="77777777" w:rsidTr="000D1374">
        <w:tc>
          <w:tcPr>
            <w:tcW w:w="1418" w:type="dxa"/>
            <w:tcBorders>
              <w:top w:val="single" w:sz="4" w:space="0" w:color="auto"/>
              <w:left w:val="single" w:sz="4" w:space="0" w:color="auto"/>
              <w:bottom w:val="single" w:sz="4" w:space="0" w:color="auto"/>
              <w:right w:val="single" w:sz="4" w:space="0" w:color="auto"/>
            </w:tcBorders>
            <w:hideMark/>
          </w:tcPr>
          <w:p w14:paraId="791C241D" w14:textId="77777777" w:rsidR="00B82CC1" w:rsidRDefault="000D1374">
            <w:r>
              <w:t>Not stated</w:t>
            </w:r>
          </w:p>
        </w:tc>
        <w:tc>
          <w:tcPr>
            <w:tcW w:w="2126" w:type="dxa"/>
            <w:tcBorders>
              <w:top w:val="single" w:sz="4" w:space="0" w:color="auto"/>
              <w:left w:val="single" w:sz="4" w:space="0" w:color="auto"/>
              <w:bottom w:val="single" w:sz="4" w:space="0" w:color="auto"/>
              <w:right w:val="single" w:sz="4" w:space="0" w:color="auto"/>
            </w:tcBorders>
            <w:hideMark/>
          </w:tcPr>
          <w:p w14:paraId="47A27607" w14:textId="77777777" w:rsidR="00B82CC1" w:rsidRDefault="00B82CC1">
            <w:pPr>
              <w:jc w:val="right"/>
            </w:pPr>
            <w:r>
              <w:t>0,04%</w:t>
            </w:r>
          </w:p>
        </w:tc>
        <w:tc>
          <w:tcPr>
            <w:tcW w:w="2126" w:type="dxa"/>
            <w:tcBorders>
              <w:top w:val="single" w:sz="4" w:space="0" w:color="auto"/>
              <w:left w:val="single" w:sz="4" w:space="0" w:color="auto"/>
              <w:bottom w:val="single" w:sz="4" w:space="0" w:color="auto"/>
              <w:right w:val="single" w:sz="4" w:space="0" w:color="auto"/>
            </w:tcBorders>
            <w:hideMark/>
          </w:tcPr>
          <w:p w14:paraId="3E96D05F" w14:textId="77777777" w:rsidR="00B82CC1" w:rsidRDefault="00B82CC1">
            <w:pPr>
              <w:jc w:val="right"/>
            </w:pPr>
            <w:r>
              <w:t>0,00%</w:t>
            </w:r>
          </w:p>
        </w:tc>
      </w:tr>
    </w:tbl>
    <w:p w14:paraId="5D03C1F5" w14:textId="277EB5B8" w:rsidR="00D708F4" w:rsidRDefault="009A4E29" w:rsidP="00CA14F9">
      <w:pPr>
        <w:pStyle w:val="Titre3"/>
        <w:spacing w:before="160"/>
        <w:rPr>
          <w:lang w:val="en-CA"/>
        </w:rPr>
      </w:pPr>
      <w:r>
        <w:rPr>
          <w:lang w:val="en-CA"/>
        </w:rPr>
        <w:t>Takin</w:t>
      </w:r>
      <w:r w:rsidR="00651E91">
        <w:rPr>
          <w:lang w:val="en-CA"/>
        </w:rPr>
        <w:t>g advantage of the increase in I</w:t>
      </w:r>
      <w:r>
        <w:rPr>
          <w:lang w:val="en-CA"/>
        </w:rPr>
        <w:t>nternet penetration</w:t>
      </w:r>
    </w:p>
    <w:p w14:paraId="7434ABBE" w14:textId="08DD82C2" w:rsidR="005E5ED4" w:rsidRDefault="00AC1948" w:rsidP="007C69FD">
      <w:pPr>
        <w:rPr>
          <w:lang w:val="en-CA"/>
        </w:rPr>
      </w:pPr>
      <w:r>
        <w:rPr>
          <w:lang w:val="en-CA"/>
        </w:rPr>
        <w:t>As noted earlier, the proportion of households having access to Internet is now over 80%. Since collection over the internet is less costly than the two current collection modes, CCHS will introduce an electronic questionnaire (EQ) as the preferred mode of collection w</w:t>
      </w:r>
      <w:r w:rsidR="00AB76D4">
        <w:rPr>
          <w:lang w:val="en-CA"/>
        </w:rPr>
        <w:t>ith its next redesign scheduled to go in production in 2021.</w:t>
      </w:r>
      <w:r>
        <w:rPr>
          <w:lang w:val="en-CA"/>
        </w:rPr>
        <w:t xml:space="preserve"> </w:t>
      </w:r>
      <w:r w:rsidR="005E5ED4">
        <w:rPr>
          <w:lang w:val="en-CA"/>
        </w:rPr>
        <w:t xml:space="preserve">This change was scheduled for the previous redesign but delays in the delivery of the new </w:t>
      </w:r>
      <w:r w:rsidR="00840349">
        <w:rPr>
          <w:lang w:val="en-CA"/>
        </w:rPr>
        <w:t>Statistics Canada</w:t>
      </w:r>
      <w:r w:rsidR="005E5ED4">
        <w:rPr>
          <w:lang w:val="en-CA"/>
        </w:rPr>
        <w:t xml:space="preserve"> collection management system have forced </w:t>
      </w:r>
      <w:r w:rsidR="00A93B62">
        <w:rPr>
          <w:lang w:val="en-CA"/>
        </w:rPr>
        <w:t xml:space="preserve">the survey </w:t>
      </w:r>
      <w:r w:rsidR="005E5ED4">
        <w:rPr>
          <w:lang w:val="en-CA"/>
        </w:rPr>
        <w:t>to postpone th</w:t>
      </w:r>
      <w:r w:rsidR="00A93B62">
        <w:rPr>
          <w:lang w:val="en-CA"/>
        </w:rPr>
        <w:t>at</w:t>
      </w:r>
      <w:r w:rsidR="005E5ED4">
        <w:rPr>
          <w:lang w:val="en-CA"/>
        </w:rPr>
        <w:t xml:space="preserve"> change.</w:t>
      </w:r>
    </w:p>
    <w:p w14:paraId="23AD8CC4" w14:textId="42F00ED4" w:rsidR="007C69FD" w:rsidRDefault="005E5ED4" w:rsidP="007C69FD">
      <w:pPr>
        <w:rPr>
          <w:lang w:val="en-CA"/>
        </w:rPr>
      </w:pPr>
      <w:r>
        <w:rPr>
          <w:lang w:val="en-CA"/>
        </w:rPr>
        <w:t xml:space="preserve">As mentioned, since some households still don’t have Internet access, other collection modes will </w:t>
      </w:r>
      <w:r w:rsidR="00A93B62">
        <w:rPr>
          <w:lang w:val="en-CA"/>
        </w:rPr>
        <w:t xml:space="preserve">still </w:t>
      </w:r>
      <w:r>
        <w:rPr>
          <w:lang w:val="en-CA"/>
        </w:rPr>
        <w:t xml:space="preserve">be required. Therefore, </w:t>
      </w:r>
      <w:r w:rsidR="00AB76D4">
        <w:rPr>
          <w:lang w:val="en-CA"/>
        </w:rPr>
        <w:t xml:space="preserve">CATI will be used for follow up and CAPI will be </w:t>
      </w:r>
      <w:r>
        <w:rPr>
          <w:lang w:val="en-CA"/>
        </w:rPr>
        <w:t>used</w:t>
      </w:r>
      <w:r w:rsidR="00AB76D4">
        <w:rPr>
          <w:lang w:val="en-CA"/>
        </w:rPr>
        <w:t xml:space="preserve"> as a third mode of collection for cases with no phone number information</w:t>
      </w:r>
      <w:r>
        <w:rPr>
          <w:lang w:val="en-CA"/>
        </w:rPr>
        <w:t xml:space="preserve"> and to help improve response rates in problematic areas like it is currently done</w:t>
      </w:r>
      <w:r w:rsidR="00AB76D4">
        <w:rPr>
          <w:lang w:val="en-CA"/>
        </w:rPr>
        <w:t xml:space="preserve">. The initial </w:t>
      </w:r>
      <w:r>
        <w:rPr>
          <w:lang w:val="en-CA"/>
        </w:rPr>
        <w:t xml:space="preserve">EQ </w:t>
      </w:r>
      <w:r w:rsidR="00AB76D4">
        <w:rPr>
          <w:lang w:val="en-CA"/>
        </w:rPr>
        <w:t xml:space="preserve">approach will </w:t>
      </w:r>
      <w:r w:rsidR="00A93B62">
        <w:rPr>
          <w:lang w:val="en-CA"/>
        </w:rPr>
        <w:t xml:space="preserve">likely </w:t>
      </w:r>
      <w:r w:rsidR="00AB76D4">
        <w:rPr>
          <w:lang w:val="en-CA"/>
        </w:rPr>
        <w:t xml:space="preserve">be similar to </w:t>
      </w:r>
      <w:r w:rsidR="00B340E5">
        <w:rPr>
          <w:lang w:val="en-CA"/>
        </w:rPr>
        <w:t>the one</w:t>
      </w:r>
      <w:r w:rsidR="00AB76D4">
        <w:rPr>
          <w:lang w:val="en-CA"/>
        </w:rPr>
        <w:t xml:space="preserve"> used by the Canadian Census of Population where an invitation letter is sent with a Secure Access Code </w:t>
      </w:r>
      <w:r w:rsidR="0070174B">
        <w:rPr>
          <w:lang w:val="en-CA"/>
        </w:rPr>
        <w:t xml:space="preserve">(SAC) </w:t>
      </w:r>
      <w:r w:rsidR="00AB76D4">
        <w:rPr>
          <w:lang w:val="en-CA"/>
        </w:rPr>
        <w:t>that allows</w:t>
      </w:r>
      <w:r w:rsidR="0070174B">
        <w:rPr>
          <w:lang w:val="en-CA"/>
        </w:rPr>
        <w:t xml:space="preserve"> access to the EQ</w:t>
      </w:r>
      <w:r w:rsidR="005B0CA5">
        <w:rPr>
          <w:lang w:val="en-CA"/>
        </w:rPr>
        <w:t xml:space="preserve"> for the respondent to complete it online. For cases where the respondent has not completed the EQ online or where it was not possible to mail the invitation letter, the same EQ will be used but will be read to the respondent over the phone or in person.</w:t>
      </w:r>
    </w:p>
    <w:p w14:paraId="53FDEEAE" w14:textId="77777777" w:rsidR="00B340E5" w:rsidRDefault="00E1593B" w:rsidP="007C69FD">
      <w:pPr>
        <w:rPr>
          <w:lang w:val="en-CA"/>
        </w:rPr>
      </w:pPr>
      <w:r>
        <w:rPr>
          <w:lang w:val="en-CA"/>
        </w:rPr>
        <w:t xml:space="preserve">Since no email information is currently available from our frame services, </w:t>
      </w:r>
      <w:r w:rsidR="009F1632">
        <w:rPr>
          <w:lang w:val="en-CA"/>
        </w:rPr>
        <w:t>dwellings</w:t>
      </w:r>
      <w:r>
        <w:rPr>
          <w:lang w:val="en-CA"/>
        </w:rPr>
        <w:t xml:space="preserve"> </w:t>
      </w:r>
      <w:r w:rsidR="00D945F3">
        <w:rPr>
          <w:lang w:val="en-CA"/>
        </w:rPr>
        <w:t>for which we can’t mail an invitation letter</w:t>
      </w:r>
      <w:r>
        <w:rPr>
          <w:lang w:val="en-CA"/>
        </w:rPr>
        <w:t xml:space="preserve"> </w:t>
      </w:r>
      <w:r w:rsidR="00D945F3">
        <w:rPr>
          <w:lang w:val="en-CA"/>
        </w:rPr>
        <w:t>will start in</w:t>
      </w:r>
      <w:r>
        <w:rPr>
          <w:lang w:val="en-CA"/>
        </w:rPr>
        <w:t xml:space="preserve"> CATI if at least one phone number is available or CAPI otherwise.</w:t>
      </w:r>
      <w:r w:rsidR="009F1632">
        <w:rPr>
          <w:lang w:val="en-CA"/>
        </w:rPr>
        <w:t xml:space="preserve"> A strategy for transferring cases from CATI to CAPI similar to the one currently being used for CCHS will be implemented. The details of the follow up strategy for cases that start as EQ will need to be developed. It can be expected that some cases will have to be followed up through CAPI if no phone numbers are available.</w:t>
      </w:r>
    </w:p>
    <w:p w14:paraId="4FBA5AE2" w14:textId="1B0A40BC" w:rsidR="009F1632" w:rsidRDefault="009F1632" w:rsidP="007C69FD">
      <w:pPr>
        <w:rPr>
          <w:lang w:val="en-CA"/>
        </w:rPr>
      </w:pPr>
      <w:r>
        <w:rPr>
          <w:lang w:val="en-CA"/>
        </w:rPr>
        <w:t xml:space="preserve">An EQ pilot is scheduled for </w:t>
      </w:r>
      <w:r w:rsidR="00323323">
        <w:rPr>
          <w:lang w:val="en-CA"/>
        </w:rPr>
        <w:t xml:space="preserve">early 2020. In the meantime a new health survey on children and youth is currently being developed and its main mode of collection will be </w:t>
      </w:r>
      <w:r w:rsidR="00E36918">
        <w:rPr>
          <w:lang w:val="en-CA"/>
        </w:rPr>
        <w:t xml:space="preserve">an </w:t>
      </w:r>
      <w:r w:rsidR="00323323">
        <w:rPr>
          <w:lang w:val="en-CA"/>
        </w:rPr>
        <w:t xml:space="preserve">EQ. A pilot for </w:t>
      </w:r>
      <w:r w:rsidR="00E36918">
        <w:rPr>
          <w:lang w:val="en-CA"/>
        </w:rPr>
        <w:t xml:space="preserve">that new </w:t>
      </w:r>
      <w:r w:rsidR="00323323">
        <w:rPr>
          <w:lang w:val="en-CA"/>
        </w:rPr>
        <w:t xml:space="preserve">survey is to take place this coming fall. </w:t>
      </w:r>
      <w:r w:rsidR="00D21829">
        <w:rPr>
          <w:lang w:val="en-CA"/>
        </w:rPr>
        <w:t>Since</w:t>
      </w:r>
      <w:r w:rsidR="00323323">
        <w:rPr>
          <w:lang w:val="en-CA"/>
        </w:rPr>
        <w:t xml:space="preserve"> the new </w:t>
      </w:r>
      <w:r w:rsidR="00840349">
        <w:rPr>
          <w:lang w:val="en-CA"/>
        </w:rPr>
        <w:t>Statistics Canada</w:t>
      </w:r>
      <w:r w:rsidR="00323323">
        <w:rPr>
          <w:lang w:val="en-CA"/>
        </w:rPr>
        <w:t xml:space="preserve">’s collection management system will not be available in time, the pilot will use a </w:t>
      </w:r>
      <w:r w:rsidR="00E36918">
        <w:rPr>
          <w:lang w:val="en-CA"/>
        </w:rPr>
        <w:t>simplified</w:t>
      </w:r>
      <w:r w:rsidR="00323323">
        <w:rPr>
          <w:lang w:val="en-CA"/>
        </w:rPr>
        <w:t xml:space="preserve"> strategy with three weeks of EQ-only collection followed by three weeks of CATI collection/follow-up. </w:t>
      </w:r>
      <w:r w:rsidR="000A7BE4">
        <w:rPr>
          <w:lang w:val="en-CA"/>
        </w:rPr>
        <w:t xml:space="preserve">This </w:t>
      </w:r>
      <w:r w:rsidR="00C63C84">
        <w:rPr>
          <w:lang w:val="en-CA"/>
        </w:rPr>
        <w:t>should</w:t>
      </w:r>
      <w:r w:rsidR="000A7BE4">
        <w:rPr>
          <w:lang w:val="en-CA"/>
        </w:rPr>
        <w:t xml:space="preserve"> still provide a good estimate of the EQ participation rate and </w:t>
      </w:r>
      <w:r w:rsidR="00C4085A">
        <w:rPr>
          <w:lang w:val="en-CA"/>
        </w:rPr>
        <w:t xml:space="preserve">allow for identification of potential issues prior to the CCHS EQ pilot (2020) and </w:t>
      </w:r>
      <w:r w:rsidR="00E36918">
        <w:rPr>
          <w:lang w:val="en-CA"/>
        </w:rPr>
        <w:t xml:space="preserve">full </w:t>
      </w:r>
      <w:r w:rsidR="00C4085A">
        <w:rPr>
          <w:lang w:val="en-CA"/>
        </w:rPr>
        <w:t>EQ transition (2021).</w:t>
      </w:r>
    </w:p>
    <w:p w14:paraId="3B3D697E" w14:textId="77777777" w:rsidR="007C69FD" w:rsidRDefault="007C69FD" w:rsidP="007C69FD">
      <w:pPr>
        <w:pStyle w:val="Titre2"/>
        <w:rPr>
          <w:lang w:val="en-CA"/>
        </w:rPr>
      </w:pPr>
      <w:r>
        <w:rPr>
          <w:lang w:val="en-CA"/>
        </w:rPr>
        <w:t>Conclusion</w:t>
      </w:r>
    </w:p>
    <w:p w14:paraId="3E04D500" w14:textId="48920612" w:rsidR="00A65212" w:rsidRDefault="00B555AC" w:rsidP="00A65212">
      <w:pPr>
        <w:rPr>
          <w:lang w:val="en-CA"/>
        </w:rPr>
      </w:pPr>
      <w:r>
        <w:rPr>
          <w:lang w:val="en-CA"/>
        </w:rPr>
        <w:t xml:space="preserve">Even though a lot of effort was put into maintaining quality for the CCHS during its last redesign we have seen that the decline in response rate is continuing. Even though making the survey mandatory is likely to </w:t>
      </w:r>
      <w:r w:rsidR="00B314F9">
        <w:rPr>
          <w:lang w:val="en-CA"/>
        </w:rPr>
        <w:t>increase</w:t>
      </w:r>
      <w:r>
        <w:rPr>
          <w:lang w:val="en-CA"/>
        </w:rPr>
        <w:t xml:space="preserve"> the response rate to </w:t>
      </w:r>
      <w:r w:rsidR="00B314F9">
        <w:rPr>
          <w:lang w:val="en-CA"/>
        </w:rPr>
        <w:t xml:space="preserve">a comparable level to what it used to be in </w:t>
      </w:r>
      <w:r>
        <w:rPr>
          <w:lang w:val="en-CA"/>
        </w:rPr>
        <w:t>2003, it can be expected that the decline will continue. It is therefore important to keep this issue in mind. Other changes will be necessary. Some of them will be implemented when making the survey mandatory in 2017 like a shortened content and the removal of sensitive modules. More changes are to come with the 2021 redesign like the addition of Internet collection. Hopefully this will help with the response rate but more innovative options may be necessary.</w:t>
      </w:r>
    </w:p>
    <w:p w14:paraId="5A6C2CC0" w14:textId="77777777" w:rsidR="00A65212" w:rsidRDefault="00A65212" w:rsidP="00A65212">
      <w:pPr>
        <w:pStyle w:val="Titre2"/>
        <w:rPr>
          <w:lang w:val="en-CA"/>
        </w:rPr>
      </w:pPr>
      <w:r>
        <w:rPr>
          <w:lang w:val="en-CA"/>
        </w:rPr>
        <w:t>References</w:t>
      </w:r>
    </w:p>
    <w:sdt>
      <w:sdtPr>
        <w:rPr>
          <w:rFonts w:asciiTheme="majorHAnsi" w:eastAsiaTheme="majorEastAsia" w:hAnsiTheme="majorHAnsi" w:cstheme="majorBidi"/>
          <w:color w:val="2E74B5" w:themeColor="accent1" w:themeShade="BF"/>
          <w:sz w:val="32"/>
          <w:szCs w:val="32"/>
          <w:lang w:val="fr-FR"/>
        </w:rPr>
        <w:id w:val="-479453452"/>
        <w:docPartObj>
          <w:docPartGallery w:val="Bibliographies"/>
          <w:docPartUnique/>
        </w:docPartObj>
      </w:sdtPr>
      <w:sdtEndPr>
        <w:rPr>
          <w:rFonts w:asciiTheme="minorHAnsi" w:eastAsiaTheme="minorHAnsi" w:hAnsiTheme="minorHAnsi" w:cstheme="minorBidi"/>
          <w:color w:val="auto"/>
          <w:sz w:val="22"/>
          <w:szCs w:val="22"/>
          <w:lang w:val="en-US"/>
        </w:rPr>
      </w:sdtEndPr>
      <w:sdtContent>
        <w:sdt>
          <w:sdtPr>
            <w:id w:val="-573587230"/>
            <w:bibliography/>
          </w:sdtPr>
          <w:sdtEndPr/>
          <w:sdtContent>
            <w:p w14:paraId="02FDB418" w14:textId="77777777" w:rsidR="005272D7" w:rsidRDefault="0001197C" w:rsidP="005272D7">
              <w:pPr>
                <w:pStyle w:val="Bibliographie"/>
                <w:ind w:left="720" w:hanging="720"/>
                <w:rPr>
                  <w:noProof/>
                  <w:sz w:val="24"/>
                  <w:szCs w:val="24"/>
                  <w:lang w:val="en-CA"/>
                </w:rPr>
              </w:pPr>
              <w:r>
                <w:fldChar w:fldCharType="begin"/>
              </w:r>
              <w:r w:rsidRPr="007C054C">
                <w:rPr>
                  <w:lang w:val="en-CA"/>
                </w:rPr>
                <w:instrText>BIBLIOGRAPHY</w:instrText>
              </w:r>
              <w:r>
                <w:fldChar w:fldCharType="separate"/>
              </w:r>
              <w:r w:rsidR="005272D7">
                <w:rPr>
                  <w:noProof/>
                  <w:lang w:val="en-CA"/>
                </w:rPr>
                <w:t xml:space="preserve">Baribeau, B. (2014). Could Nonresponse Be Biasing Trends Of Health Estimates? </w:t>
              </w:r>
              <w:r w:rsidR="005272D7">
                <w:rPr>
                  <w:i/>
                  <w:iCs/>
                  <w:noProof/>
                  <w:lang w:val="en-CA"/>
                </w:rPr>
                <w:t>Proceedings of the Joint Statistical Meetings of the American Statistical Association.</w:t>
              </w:r>
              <w:r w:rsidR="005272D7">
                <w:rPr>
                  <w:noProof/>
                  <w:lang w:val="en-CA"/>
                </w:rPr>
                <w:t xml:space="preserve"> </w:t>
              </w:r>
            </w:p>
            <w:p w14:paraId="59F2B73D" w14:textId="77777777" w:rsidR="005272D7" w:rsidRDefault="005272D7" w:rsidP="005272D7">
              <w:pPr>
                <w:pStyle w:val="Bibliographie"/>
                <w:ind w:left="720" w:hanging="720"/>
                <w:rPr>
                  <w:noProof/>
                  <w:lang w:val="en-CA"/>
                </w:rPr>
              </w:pPr>
              <w:r>
                <w:rPr>
                  <w:noProof/>
                  <w:lang w:val="en-CA"/>
                </w:rPr>
                <w:t xml:space="preserve">Pantel, M. (2010). Use of the Canada Child Tax Benefit as a frame for the Survey of Young Canadians. </w:t>
              </w:r>
              <w:r>
                <w:rPr>
                  <w:i/>
                  <w:iCs/>
                  <w:noProof/>
                  <w:lang w:val="en-CA"/>
                </w:rPr>
                <w:t>Proceedings of Statistics Canada Symposium 2010.</w:t>
              </w:r>
              <w:r>
                <w:rPr>
                  <w:noProof/>
                  <w:lang w:val="en-CA"/>
                </w:rPr>
                <w:t xml:space="preserve"> Ottawa: Statistics Canada.</w:t>
              </w:r>
            </w:p>
            <w:p w14:paraId="4F6C73AE" w14:textId="77777777" w:rsidR="00A65212" w:rsidRPr="0001197C" w:rsidRDefault="0001197C" w:rsidP="00A65212">
              <w:pPr>
                <w:rPr>
                  <w:lang w:val="fr-CA"/>
                </w:rPr>
              </w:pPr>
              <w:r>
                <w:rPr>
                  <w:b/>
                  <w:bCs/>
                </w:rPr>
                <w:fldChar w:fldCharType="end"/>
              </w:r>
            </w:p>
          </w:sdtContent>
        </w:sdt>
      </w:sdtContent>
    </w:sdt>
    <w:sectPr w:rsidR="00A65212" w:rsidRPr="000119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E940B" w14:textId="77777777" w:rsidR="00085633" w:rsidRDefault="00085633" w:rsidP="00085633">
      <w:pPr>
        <w:spacing w:after="0" w:line="240" w:lineRule="auto"/>
      </w:pPr>
      <w:r>
        <w:separator/>
      </w:r>
    </w:p>
  </w:endnote>
  <w:endnote w:type="continuationSeparator" w:id="0">
    <w:p w14:paraId="08E2EFDF" w14:textId="77777777" w:rsidR="00085633" w:rsidRDefault="00085633" w:rsidP="00085633">
      <w:pPr>
        <w:spacing w:after="0" w:line="240" w:lineRule="auto"/>
      </w:pPr>
      <w:r>
        <w:continuationSeparator/>
      </w:r>
    </w:p>
  </w:endnote>
  <w:endnote w:type="continuationNotice" w:id="1">
    <w:p w14:paraId="26ECD17E" w14:textId="77777777" w:rsidR="004C66D3" w:rsidRDefault="004C6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205D" w14:textId="77777777" w:rsidR="00085633" w:rsidRDefault="0008563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A7346" w14:textId="77777777" w:rsidR="00085633" w:rsidRDefault="0008563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5245F" w14:textId="77777777" w:rsidR="00085633" w:rsidRDefault="000856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3812C" w14:textId="77777777" w:rsidR="00085633" w:rsidRDefault="00085633" w:rsidP="00085633">
      <w:pPr>
        <w:spacing w:after="0" w:line="240" w:lineRule="auto"/>
      </w:pPr>
      <w:r>
        <w:separator/>
      </w:r>
    </w:p>
  </w:footnote>
  <w:footnote w:type="continuationSeparator" w:id="0">
    <w:p w14:paraId="6054725A" w14:textId="77777777" w:rsidR="00085633" w:rsidRDefault="00085633" w:rsidP="00085633">
      <w:pPr>
        <w:spacing w:after="0" w:line="240" w:lineRule="auto"/>
      </w:pPr>
      <w:r>
        <w:continuationSeparator/>
      </w:r>
    </w:p>
  </w:footnote>
  <w:footnote w:type="continuationNotice" w:id="1">
    <w:p w14:paraId="64CE7ADD" w14:textId="77777777" w:rsidR="004C66D3" w:rsidRDefault="004C66D3">
      <w:pPr>
        <w:spacing w:after="0" w:line="240" w:lineRule="auto"/>
      </w:pPr>
    </w:p>
  </w:footnote>
  <w:footnote w:id="2">
    <w:p w14:paraId="16253B66" w14:textId="77777777" w:rsidR="00FA7660" w:rsidRPr="00FA7660" w:rsidRDefault="00FA7660">
      <w:pPr>
        <w:pStyle w:val="Notedebasdepage"/>
        <w:rPr>
          <w:lang w:val="en-CA"/>
        </w:rPr>
      </w:pPr>
      <w:r>
        <w:rPr>
          <w:rStyle w:val="Appelnotedebasdep"/>
        </w:rPr>
        <w:footnoteRef/>
      </w:r>
      <w:r>
        <w:t xml:space="preserve"> </w:t>
      </w:r>
      <w:r>
        <w:rPr>
          <w:lang w:val="en-CA"/>
        </w:rPr>
        <w:t>José Gaudet, Statistics Canada, 150 Tunney’s Pasture Driveway, Ottawa, Ontario, K1A 0T6, jose.gaudet@canada.ca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5E656" w14:textId="77777777" w:rsidR="00085633" w:rsidRDefault="000856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403D0" w14:textId="77777777" w:rsidR="00085633" w:rsidRDefault="0008563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24382" w14:textId="77777777" w:rsidR="00085633" w:rsidRDefault="0008563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30"/>
    <w:rsid w:val="0001197C"/>
    <w:rsid w:val="00013471"/>
    <w:rsid w:val="0004403E"/>
    <w:rsid w:val="00085633"/>
    <w:rsid w:val="00090939"/>
    <w:rsid w:val="00093E30"/>
    <w:rsid w:val="000A7BE4"/>
    <w:rsid w:val="000C3D41"/>
    <w:rsid w:val="000C6E30"/>
    <w:rsid w:val="000D1374"/>
    <w:rsid w:val="000F3897"/>
    <w:rsid w:val="00121AB0"/>
    <w:rsid w:val="00134FF5"/>
    <w:rsid w:val="00147339"/>
    <w:rsid w:val="001509FE"/>
    <w:rsid w:val="0016363B"/>
    <w:rsid w:val="00172D5C"/>
    <w:rsid w:val="00177148"/>
    <w:rsid w:val="001833A2"/>
    <w:rsid w:val="001D480C"/>
    <w:rsid w:val="001E0B04"/>
    <w:rsid w:val="00202F85"/>
    <w:rsid w:val="002138A4"/>
    <w:rsid w:val="002159D0"/>
    <w:rsid w:val="00245A0C"/>
    <w:rsid w:val="00246B42"/>
    <w:rsid w:val="00280B18"/>
    <w:rsid w:val="00290F29"/>
    <w:rsid w:val="002A58AB"/>
    <w:rsid w:val="002B7583"/>
    <w:rsid w:val="002D09AC"/>
    <w:rsid w:val="002E0303"/>
    <w:rsid w:val="00321A8D"/>
    <w:rsid w:val="00323323"/>
    <w:rsid w:val="00335AB6"/>
    <w:rsid w:val="003B2236"/>
    <w:rsid w:val="003D6AD7"/>
    <w:rsid w:val="00416B3B"/>
    <w:rsid w:val="004616FB"/>
    <w:rsid w:val="00467EA6"/>
    <w:rsid w:val="00476C21"/>
    <w:rsid w:val="004951F8"/>
    <w:rsid w:val="004A61AE"/>
    <w:rsid w:val="004C66D3"/>
    <w:rsid w:val="004D4A8E"/>
    <w:rsid w:val="004E1F36"/>
    <w:rsid w:val="004F36BC"/>
    <w:rsid w:val="004F3B30"/>
    <w:rsid w:val="005272D7"/>
    <w:rsid w:val="00577892"/>
    <w:rsid w:val="00582647"/>
    <w:rsid w:val="00592A8D"/>
    <w:rsid w:val="005A3734"/>
    <w:rsid w:val="005B0CA5"/>
    <w:rsid w:val="005C01D1"/>
    <w:rsid w:val="005D5790"/>
    <w:rsid w:val="005E5ED4"/>
    <w:rsid w:val="00641A69"/>
    <w:rsid w:val="00651E91"/>
    <w:rsid w:val="00652D48"/>
    <w:rsid w:val="00674ED6"/>
    <w:rsid w:val="00692C11"/>
    <w:rsid w:val="00694185"/>
    <w:rsid w:val="006A3C0C"/>
    <w:rsid w:val="006A44F1"/>
    <w:rsid w:val="006D3EA1"/>
    <w:rsid w:val="0070174B"/>
    <w:rsid w:val="00710B72"/>
    <w:rsid w:val="007236CF"/>
    <w:rsid w:val="00725C8E"/>
    <w:rsid w:val="007427E0"/>
    <w:rsid w:val="007B384D"/>
    <w:rsid w:val="007C054C"/>
    <w:rsid w:val="007C69FD"/>
    <w:rsid w:val="007E6437"/>
    <w:rsid w:val="0080226A"/>
    <w:rsid w:val="00832441"/>
    <w:rsid w:val="00840349"/>
    <w:rsid w:val="00854CA4"/>
    <w:rsid w:val="00901526"/>
    <w:rsid w:val="0093558B"/>
    <w:rsid w:val="00951E40"/>
    <w:rsid w:val="00965FFD"/>
    <w:rsid w:val="009757E9"/>
    <w:rsid w:val="009A4E29"/>
    <w:rsid w:val="009B2972"/>
    <w:rsid w:val="009B3507"/>
    <w:rsid w:val="009B6453"/>
    <w:rsid w:val="009B7010"/>
    <w:rsid w:val="009C3B64"/>
    <w:rsid w:val="009F1632"/>
    <w:rsid w:val="00A219C7"/>
    <w:rsid w:val="00A25253"/>
    <w:rsid w:val="00A53626"/>
    <w:rsid w:val="00A633B0"/>
    <w:rsid w:val="00A65212"/>
    <w:rsid w:val="00A66372"/>
    <w:rsid w:val="00A85DE9"/>
    <w:rsid w:val="00A93B62"/>
    <w:rsid w:val="00AA1016"/>
    <w:rsid w:val="00AB76D4"/>
    <w:rsid w:val="00AC1948"/>
    <w:rsid w:val="00AD3748"/>
    <w:rsid w:val="00AD38FE"/>
    <w:rsid w:val="00AD6131"/>
    <w:rsid w:val="00AE2D64"/>
    <w:rsid w:val="00AF7825"/>
    <w:rsid w:val="00B21474"/>
    <w:rsid w:val="00B314F9"/>
    <w:rsid w:val="00B3395A"/>
    <w:rsid w:val="00B340E5"/>
    <w:rsid w:val="00B43CF2"/>
    <w:rsid w:val="00B555AC"/>
    <w:rsid w:val="00B67EEB"/>
    <w:rsid w:val="00B74B1F"/>
    <w:rsid w:val="00B82CC1"/>
    <w:rsid w:val="00BA7824"/>
    <w:rsid w:val="00BB2363"/>
    <w:rsid w:val="00BB2DCC"/>
    <w:rsid w:val="00BF52DF"/>
    <w:rsid w:val="00C1212E"/>
    <w:rsid w:val="00C21921"/>
    <w:rsid w:val="00C4085A"/>
    <w:rsid w:val="00C57450"/>
    <w:rsid w:val="00C63C84"/>
    <w:rsid w:val="00C67FB0"/>
    <w:rsid w:val="00C946B4"/>
    <w:rsid w:val="00CA14F9"/>
    <w:rsid w:val="00CA622F"/>
    <w:rsid w:val="00CB4A1A"/>
    <w:rsid w:val="00CC6B50"/>
    <w:rsid w:val="00CF5362"/>
    <w:rsid w:val="00D21829"/>
    <w:rsid w:val="00D242CA"/>
    <w:rsid w:val="00D43724"/>
    <w:rsid w:val="00D50A9C"/>
    <w:rsid w:val="00D708F4"/>
    <w:rsid w:val="00D945F3"/>
    <w:rsid w:val="00DC1361"/>
    <w:rsid w:val="00DD625C"/>
    <w:rsid w:val="00DE049B"/>
    <w:rsid w:val="00E1593B"/>
    <w:rsid w:val="00E2186C"/>
    <w:rsid w:val="00E30B43"/>
    <w:rsid w:val="00E36918"/>
    <w:rsid w:val="00E423F8"/>
    <w:rsid w:val="00E56483"/>
    <w:rsid w:val="00E6369C"/>
    <w:rsid w:val="00E803D9"/>
    <w:rsid w:val="00E916C4"/>
    <w:rsid w:val="00E94EDC"/>
    <w:rsid w:val="00E957D8"/>
    <w:rsid w:val="00EA45D9"/>
    <w:rsid w:val="00ED6874"/>
    <w:rsid w:val="00EF3D1F"/>
    <w:rsid w:val="00F04758"/>
    <w:rsid w:val="00F42568"/>
    <w:rsid w:val="00F61297"/>
    <w:rsid w:val="00F773F9"/>
    <w:rsid w:val="00F85479"/>
    <w:rsid w:val="00FA545C"/>
    <w:rsid w:val="00FA7660"/>
    <w:rsid w:val="00FC26D7"/>
    <w:rsid w:val="00FC2C6E"/>
    <w:rsid w:val="00FC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4BE1"/>
  <w15:chartTrackingRefBased/>
  <w15:docId w15:val="{196AC6DB-2127-48CC-B3FC-6D7F3DCA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833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8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7B38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33A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833A2"/>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085633"/>
    <w:pPr>
      <w:tabs>
        <w:tab w:val="center" w:pos="4680"/>
        <w:tab w:val="right" w:pos="9360"/>
      </w:tabs>
      <w:spacing w:after="0" w:line="240" w:lineRule="auto"/>
    </w:pPr>
  </w:style>
  <w:style w:type="character" w:customStyle="1" w:styleId="En-tteCar">
    <w:name w:val="En-tête Car"/>
    <w:basedOn w:val="Policepardfaut"/>
    <w:link w:val="En-tte"/>
    <w:uiPriority w:val="99"/>
    <w:rsid w:val="00085633"/>
  </w:style>
  <w:style w:type="paragraph" w:styleId="Pieddepage">
    <w:name w:val="footer"/>
    <w:basedOn w:val="Normal"/>
    <w:link w:val="PieddepageCar"/>
    <w:uiPriority w:val="99"/>
    <w:unhideWhenUsed/>
    <w:rsid w:val="0008563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85633"/>
  </w:style>
  <w:style w:type="character" w:customStyle="1" w:styleId="Titre3Car">
    <w:name w:val="Titre 3 Car"/>
    <w:basedOn w:val="Policepardfaut"/>
    <w:link w:val="Titre3"/>
    <w:uiPriority w:val="9"/>
    <w:rsid w:val="007B384D"/>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B340E5"/>
    <w:pPr>
      <w:spacing w:after="0" w:line="240" w:lineRule="auto"/>
    </w:pPr>
    <w:rPr>
      <w:rFonts w:ascii="Calibri" w:eastAsia="Times New Roman" w:hAnsi="Calibri" w:cs="Times New Roman"/>
      <w:lang w:val="fr-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7C054C"/>
  </w:style>
  <w:style w:type="paragraph" w:styleId="Lgende">
    <w:name w:val="caption"/>
    <w:basedOn w:val="Normal"/>
    <w:next w:val="Normal"/>
    <w:uiPriority w:val="35"/>
    <w:unhideWhenUsed/>
    <w:qFormat/>
    <w:rsid w:val="00C946B4"/>
    <w:pPr>
      <w:spacing w:after="200" w:line="240" w:lineRule="auto"/>
    </w:pPr>
    <w:rPr>
      <w:i/>
      <w:iCs/>
      <w:color w:val="44546A" w:themeColor="text2"/>
      <w:sz w:val="18"/>
      <w:szCs w:val="18"/>
    </w:rPr>
  </w:style>
  <w:style w:type="paragraph" w:styleId="Textedebulles">
    <w:name w:val="Balloon Text"/>
    <w:basedOn w:val="Normal"/>
    <w:link w:val="TextedebullesCar"/>
    <w:uiPriority w:val="99"/>
    <w:semiHidden/>
    <w:unhideWhenUsed/>
    <w:rsid w:val="001771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7148"/>
    <w:rPr>
      <w:rFonts w:ascii="Segoe UI" w:hAnsi="Segoe UI" w:cs="Segoe UI"/>
      <w:sz w:val="18"/>
      <w:szCs w:val="18"/>
    </w:rPr>
  </w:style>
  <w:style w:type="character" w:styleId="Emphaseple">
    <w:name w:val="Subtle Emphasis"/>
    <w:basedOn w:val="Policepardfaut"/>
    <w:uiPriority w:val="19"/>
    <w:qFormat/>
    <w:rsid w:val="00FA7660"/>
    <w:rPr>
      <w:i/>
      <w:iCs/>
      <w:color w:val="404040" w:themeColor="text1" w:themeTint="BF"/>
    </w:rPr>
  </w:style>
  <w:style w:type="paragraph" w:styleId="Notedebasdepage">
    <w:name w:val="footnote text"/>
    <w:basedOn w:val="Normal"/>
    <w:link w:val="NotedebasdepageCar"/>
    <w:uiPriority w:val="99"/>
    <w:semiHidden/>
    <w:unhideWhenUsed/>
    <w:rsid w:val="00FA76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7660"/>
    <w:rPr>
      <w:sz w:val="20"/>
      <w:szCs w:val="20"/>
    </w:rPr>
  </w:style>
  <w:style w:type="character" w:styleId="Appelnotedebasdep">
    <w:name w:val="footnote reference"/>
    <w:basedOn w:val="Policepardfaut"/>
    <w:uiPriority w:val="99"/>
    <w:semiHidden/>
    <w:unhideWhenUsed/>
    <w:rsid w:val="00FA7660"/>
    <w:rPr>
      <w:vertAlign w:val="superscript"/>
    </w:rPr>
  </w:style>
  <w:style w:type="character" w:styleId="Marquedecommentaire">
    <w:name w:val="annotation reference"/>
    <w:basedOn w:val="Policepardfaut"/>
    <w:uiPriority w:val="99"/>
    <w:semiHidden/>
    <w:unhideWhenUsed/>
    <w:rsid w:val="004C66D3"/>
    <w:rPr>
      <w:sz w:val="16"/>
      <w:szCs w:val="16"/>
    </w:rPr>
  </w:style>
  <w:style w:type="paragraph" w:styleId="Commentaire">
    <w:name w:val="annotation text"/>
    <w:basedOn w:val="Normal"/>
    <w:link w:val="CommentaireCar"/>
    <w:uiPriority w:val="99"/>
    <w:semiHidden/>
    <w:unhideWhenUsed/>
    <w:rsid w:val="004C66D3"/>
    <w:pPr>
      <w:spacing w:line="240" w:lineRule="auto"/>
    </w:pPr>
    <w:rPr>
      <w:sz w:val="20"/>
      <w:szCs w:val="20"/>
    </w:rPr>
  </w:style>
  <w:style w:type="character" w:customStyle="1" w:styleId="CommentaireCar">
    <w:name w:val="Commentaire Car"/>
    <w:basedOn w:val="Policepardfaut"/>
    <w:link w:val="Commentaire"/>
    <w:uiPriority w:val="99"/>
    <w:semiHidden/>
    <w:rsid w:val="004C66D3"/>
    <w:rPr>
      <w:sz w:val="20"/>
      <w:szCs w:val="20"/>
    </w:rPr>
  </w:style>
  <w:style w:type="paragraph" w:styleId="Objetducommentaire">
    <w:name w:val="annotation subject"/>
    <w:basedOn w:val="Commentaire"/>
    <w:next w:val="Commentaire"/>
    <w:link w:val="ObjetducommentaireCar"/>
    <w:uiPriority w:val="99"/>
    <w:semiHidden/>
    <w:unhideWhenUsed/>
    <w:rsid w:val="004C66D3"/>
    <w:rPr>
      <w:b/>
      <w:bCs/>
    </w:rPr>
  </w:style>
  <w:style w:type="character" w:customStyle="1" w:styleId="ObjetducommentaireCar">
    <w:name w:val="Objet du commentaire Car"/>
    <w:basedOn w:val="CommentaireCar"/>
    <w:link w:val="Objetducommentaire"/>
    <w:uiPriority w:val="99"/>
    <w:semiHidden/>
    <w:rsid w:val="004C66D3"/>
    <w:rPr>
      <w:b/>
      <w:bCs/>
      <w:sz w:val="20"/>
      <w:szCs w:val="20"/>
    </w:rPr>
  </w:style>
  <w:style w:type="paragraph" w:styleId="Rvision">
    <w:name w:val="Revision"/>
    <w:hidden/>
    <w:uiPriority w:val="99"/>
    <w:semiHidden/>
    <w:rsid w:val="004C6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39601">
      <w:bodyDiv w:val="1"/>
      <w:marLeft w:val="0"/>
      <w:marRight w:val="0"/>
      <w:marTop w:val="0"/>
      <w:marBottom w:val="0"/>
      <w:divBdr>
        <w:top w:val="none" w:sz="0" w:space="0" w:color="auto"/>
        <w:left w:val="none" w:sz="0" w:space="0" w:color="auto"/>
        <w:bottom w:val="none" w:sz="0" w:space="0" w:color="auto"/>
        <w:right w:val="none" w:sz="0" w:space="0" w:color="auto"/>
      </w:divBdr>
    </w:div>
    <w:div w:id="116798777">
      <w:bodyDiv w:val="1"/>
      <w:marLeft w:val="0"/>
      <w:marRight w:val="0"/>
      <w:marTop w:val="0"/>
      <w:marBottom w:val="0"/>
      <w:divBdr>
        <w:top w:val="none" w:sz="0" w:space="0" w:color="auto"/>
        <w:left w:val="none" w:sz="0" w:space="0" w:color="auto"/>
        <w:bottom w:val="none" w:sz="0" w:space="0" w:color="auto"/>
        <w:right w:val="none" w:sz="0" w:space="0" w:color="auto"/>
      </w:divBdr>
    </w:div>
    <w:div w:id="154805957">
      <w:bodyDiv w:val="1"/>
      <w:marLeft w:val="0"/>
      <w:marRight w:val="0"/>
      <w:marTop w:val="0"/>
      <w:marBottom w:val="0"/>
      <w:divBdr>
        <w:top w:val="none" w:sz="0" w:space="0" w:color="auto"/>
        <w:left w:val="none" w:sz="0" w:space="0" w:color="auto"/>
        <w:bottom w:val="none" w:sz="0" w:space="0" w:color="auto"/>
        <w:right w:val="none" w:sz="0" w:space="0" w:color="auto"/>
      </w:divBdr>
    </w:div>
    <w:div w:id="780413990">
      <w:bodyDiv w:val="1"/>
      <w:marLeft w:val="0"/>
      <w:marRight w:val="0"/>
      <w:marTop w:val="0"/>
      <w:marBottom w:val="0"/>
      <w:divBdr>
        <w:top w:val="none" w:sz="0" w:space="0" w:color="auto"/>
        <w:left w:val="none" w:sz="0" w:space="0" w:color="auto"/>
        <w:bottom w:val="none" w:sz="0" w:space="0" w:color="auto"/>
        <w:right w:val="none" w:sz="0" w:space="0" w:color="auto"/>
      </w:divBdr>
    </w:div>
    <w:div w:id="940189349">
      <w:bodyDiv w:val="1"/>
      <w:marLeft w:val="0"/>
      <w:marRight w:val="0"/>
      <w:marTop w:val="0"/>
      <w:marBottom w:val="0"/>
      <w:divBdr>
        <w:top w:val="none" w:sz="0" w:space="0" w:color="auto"/>
        <w:left w:val="none" w:sz="0" w:space="0" w:color="auto"/>
        <w:bottom w:val="none" w:sz="0" w:space="0" w:color="auto"/>
        <w:right w:val="none" w:sz="0" w:space="0" w:color="auto"/>
      </w:divBdr>
    </w:div>
    <w:div w:id="1129856762">
      <w:bodyDiv w:val="1"/>
      <w:marLeft w:val="0"/>
      <w:marRight w:val="0"/>
      <w:marTop w:val="0"/>
      <w:marBottom w:val="0"/>
      <w:divBdr>
        <w:top w:val="none" w:sz="0" w:space="0" w:color="auto"/>
        <w:left w:val="none" w:sz="0" w:space="0" w:color="auto"/>
        <w:bottom w:val="none" w:sz="0" w:space="0" w:color="auto"/>
        <w:right w:val="none" w:sz="0" w:space="0" w:color="auto"/>
      </w:divBdr>
    </w:div>
    <w:div w:id="1411078898">
      <w:bodyDiv w:val="1"/>
      <w:marLeft w:val="0"/>
      <w:marRight w:val="0"/>
      <w:marTop w:val="0"/>
      <w:marBottom w:val="0"/>
      <w:divBdr>
        <w:top w:val="none" w:sz="0" w:space="0" w:color="auto"/>
        <w:left w:val="none" w:sz="0" w:space="0" w:color="auto"/>
        <w:bottom w:val="none" w:sz="0" w:space="0" w:color="auto"/>
        <w:right w:val="none" w:sz="0" w:space="0" w:color="auto"/>
      </w:divBdr>
    </w:div>
    <w:div w:id="1466267805">
      <w:bodyDiv w:val="1"/>
      <w:marLeft w:val="0"/>
      <w:marRight w:val="0"/>
      <w:marTop w:val="0"/>
      <w:marBottom w:val="0"/>
      <w:divBdr>
        <w:top w:val="none" w:sz="0" w:space="0" w:color="auto"/>
        <w:left w:val="none" w:sz="0" w:space="0" w:color="auto"/>
        <w:bottom w:val="none" w:sz="0" w:space="0" w:color="auto"/>
        <w:right w:val="none" w:sz="0" w:space="0" w:color="auto"/>
      </w:divBdr>
      <w:divsChild>
        <w:div w:id="1306735081">
          <w:marLeft w:val="0"/>
          <w:marRight w:val="0"/>
          <w:marTop w:val="0"/>
          <w:marBottom w:val="0"/>
          <w:divBdr>
            <w:top w:val="none" w:sz="0" w:space="0" w:color="auto"/>
            <w:left w:val="none" w:sz="0" w:space="0" w:color="auto"/>
            <w:bottom w:val="none" w:sz="0" w:space="0" w:color="auto"/>
            <w:right w:val="none" w:sz="0" w:space="0" w:color="auto"/>
          </w:divBdr>
          <w:divsChild>
            <w:div w:id="483666699">
              <w:marLeft w:val="0"/>
              <w:marRight w:val="0"/>
              <w:marTop w:val="0"/>
              <w:marBottom w:val="0"/>
              <w:divBdr>
                <w:top w:val="none" w:sz="0" w:space="0" w:color="auto"/>
                <w:left w:val="none" w:sz="0" w:space="0" w:color="auto"/>
                <w:bottom w:val="none" w:sz="0" w:space="0" w:color="auto"/>
                <w:right w:val="none" w:sz="0" w:space="0" w:color="auto"/>
              </w:divBdr>
              <w:divsChild>
                <w:div w:id="1360862374">
                  <w:marLeft w:val="0"/>
                  <w:marRight w:val="0"/>
                  <w:marTop w:val="0"/>
                  <w:marBottom w:val="0"/>
                  <w:divBdr>
                    <w:top w:val="none" w:sz="0" w:space="0" w:color="auto"/>
                    <w:left w:val="none" w:sz="0" w:space="0" w:color="auto"/>
                    <w:bottom w:val="none" w:sz="0" w:space="0" w:color="auto"/>
                    <w:right w:val="none" w:sz="0" w:space="0" w:color="auto"/>
                  </w:divBdr>
                  <w:divsChild>
                    <w:div w:id="1552958294">
                      <w:marLeft w:val="0"/>
                      <w:marRight w:val="0"/>
                      <w:marTop w:val="0"/>
                      <w:marBottom w:val="0"/>
                      <w:divBdr>
                        <w:top w:val="none" w:sz="0" w:space="0" w:color="auto"/>
                        <w:left w:val="none" w:sz="0" w:space="0" w:color="auto"/>
                        <w:bottom w:val="none" w:sz="0" w:space="0" w:color="auto"/>
                        <w:right w:val="none" w:sz="0" w:space="0" w:color="auto"/>
                      </w:divBdr>
                      <w:divsChild>
                        <w:div w:id="13962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640806">
      <w:bodyDiv w:val="1"/>
      <w:marLeft w:val="0"/>
      <w:marRight w:val="0"/>
      <w:marTop w:val="0"/>
      <w:marBottom w:val="0"/>
      <w:divBdr>
        <w:top w:val="none" w:sz="0" w:space="0" w:color="auto"/>
        <w:left w:val="none" w:sz="0" w:space="0" w:color="auto"/>
        <w:bottom w:val="none" w:sz="0" w:space="0" w:color="auto"/>
        <w:right w:val="none" w:sz="0" w:space="0" w:color="auto"/>
      </w:divBdr>
    </w:div>
    <w:div w:id="1529879540">
      <w:bodyDiv w:val="1"/>
      <w:marLeft w:val="0"/>
      <w:marRight w:val="0"/>
      <w:marTop w:val="0"/>
      <w:marBottom w:val="0"/>
      <w:divBdr>
        <w:top w:val="none" w:sz="0" w:space="0" w:color="auto"/>
        <w:left w:val="none" w:sz="0" w:space="0" w:color="auto"/>
        <w:bottom w:val="none" w:sz="0" w:space="0" w:color="auto"/>
        <w:right w:val="none" w:sz="0" w:space="0" w:color="auto"/>
      </w:divBdr>
    </w:div>
    <w:div w:id="1583949372">
      <w:bodyDiv w:val="1"/>
      <w:marLeft w:val="0"/>
      <w:marRight w:val="0"/>
      <w:marTop w:val="0"/>
      <w:marBottom w:val="0"/>
      <w:divBdr>
        <w:top w:val="none" w:sz="0" w:space="0" w:color="auto"/>
        <w:left w:val="none" w:sz="0" w:space="0" w:color="auto"/>
        <w:bottom w:val="none" w:sz="0" w:space="0" w:color="auto"/>
        <w:right w:val="none" w:sz="0" w:space="0" w:color="auto"/>
      </w:divBdr>
    </w:div>
    <w:div w:id="1877624419">
      <w:bodyDiv w:val="1"/>
      <w:marLeft w:val="0"/>
      <w:marRight w:val="0"/>
      <w:marTop w:val="0"/>
      <w:marBottom w:val="0"/>
      <w:divBdr>
        <w:top w:val="none" w:sz="0" w:space="0" w:color="auto"/>
        <w:left w:val="none" w:sz="0" w:space="0" w:color="auto"/>
        <w:bottom w:val="none" w:sz="0" w:space="0" w:color="auto"/>
        <w:right w:val="none" w:sz="0" w:space="0" w:color="auto"/>
      </w:divBdr>
    </w:div>
    <w:div w:id="1881546964">
      <w:bodyDiv w:val="1"/>
      <w:marLeft w:val="0"/>
      <w:marRight w:val="0"/>
      <w:marTop w:val="0"/>
      <w:marBottom w:val="0"/>
      <w:divBdr>
        <w:top w:val="none" w:sz="0" w:space="0" w:color="auto"/>
        <w:left w:val="none" w:sz="0" w:space="0" w:color="auto"/>
        <w:bottom w:val="none" w:sz="0" w:space="0" w:color="auto"/>
        <w:right w:val="none" w:sz="0" w:space="0" w:color="auto"/>
      </w:divBdr>
    </w:div>
    <w:div w:id="19902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stchsfs\gaudjos$\CCHS\NRW2016\TauxReponse_3enquetes_v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514997575449712E-2"/>
          <c:y val="3.5351687487827264E-2"/>
          <c:w val="0.9089674879349755"/>
          <c:h val="0.82893529613146177"/>
        </c:manualLayout>
      </c:layout>
      <c:lineChart>
        <c:grouping val="standard"/>
        <c:varyColors val="0"/>
        <c:ser>
          <c:idx val="2"/>
          <c:order val="1"/>
          <c:tx>
            <c:strRef>
              <c:f>Sheet3!$J$1</c:f>
              <c:strCache>
                <c:ptCount val="1"/>
                <c:pt idx="0">
                  <c:v>Canadian Community Health Survey</c:v>
                </c:pt>
              </c:strCache>
            </c:strRef>
          </c:tx>
          <c:spPr>
            <a:ln w="38100">
              <a:solidFill>
                <a:srgbClr val="00B050"/>
              </a:solidFill>
            </a:ln>
          </c:spPr>
          <c:marker>
            <c:symbol val="none"/>
          </c:marker>
          <c:cat>
            <c:numRef>
              <c:f>Sheet3!$G$2:$G$21</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Sheet3!$J$2:$J$21</c:f>
              <c:numCache>
                <c:formatCode>0.0</c:formatCode>
                <c:ptCount val="15"/>
                <c:pt idx="0">
                  <c:v>86.9</c:v>
                </c:pt>
                <c:pt idx="1">
                  <c:v>#N/A</c:v>
                </c:pt>
                <c:pt idx="2">
                  <c:v>80.655301584271811</c:v>
                </c:pt>
                <c:pt idx="3">
                  <c:v>#N/A</c:v>
                </c:pt>
                <c:pt idx="4">
                  <c:v>78.917157374869404</c:v>
                </c:pt>
                <c:pt idx="5">
                  <c:v>#N/A</c:v>
                </c:pt>
                <c:pt idx="6">
                  <c:v>77.400000000000006</c:v>
                </c:pt>
                <c:pt idx="7">
                  <c:v>74.5</c:v>
                </c:pt>
                <c:pt idx="8">
                  <c:v>72.900000000000006</c:v>
                </c:pt>
                <c:pt idx="9">
                  <c:v>71.5</c:v>
                </c:pt>
                <c:pt idx="10">
                  <c:v>69.8</c:v>
                </c:pt>
                <c:pt idx="11">
                  <c:v>67</c:v>
                </c:pt>
                <c:pt idx="12">
                  <c:v>66.8</c:v>
                </c:pt>
                <c:pt idx="13">
                  <c:v>65.599999999999994</c:v>
                </c:pt>
                <c:pt idx="14">
                  <c:v>57.5</c:v>
                </c:pt>
              </c:numCache>
            </c:numRef>
          </c:val>
          <c:smooth val="0"/>
        </c:ser>
        <c:ser>
          <c:idx val="4"/>
          <c:order val="2"/>
          <c:tx>
            <c:strRef>
              <c:f>Sheet3!$I$1</c:f>
              <c:strCache>
                <c:ptCount val="1"/>
                <c:pt idx="0">
                  <c:v>Labour Force Survey</c:v>
                </c:pt>
              </c:strCache>
            </c:strRef>
          </c:tx>
          <c:spPr>
            <a:ln w="28575">
              <a:solidFill>
                <a:srgbClr val="C00000"/>
              </a:solidFill>
              <a:prstDash val="sysDot"/>
            </a:ln>
          </c:spPr>
          <c:marker>
            <c:symbol val="none"/>
          </c:marker>
          <c:cat>
            <c:numRef>
              <c:f>Sheet3!$G$2:$G$21</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Sheet3!$I$2:$I$21</c:f>
              <c:numCache>
                <c:formatCode>General</c:formatCode>
                <c:ptCount val="15"/>
                <c:pt idx="0">
                  <c:v>93.625</c:v>
                </c:pt>
                <c:pt idx="1">
                  <c:v>94.016666666666666</c:v>
                </c:pt>
                <c:pt idx="2">
                  <c:v>93.408333333333331</c:v>
                </c:pt>
                <c:pt idx="3">
                  <c:v>92.424999999999997</c:v>
                </c:pt>
                <c:pt idx="4">
                  <c:v>90.516666666666666</c:v>
                </c:pt>
                <c:pt idx="5" formatCode="0.0">
                  <c:v>#N/A</c:v>
                </c:pt>
                <c:pt idx="6" formatCode="0.0">
                  <c:v>92.333333333333329</c:v>
                </c:pt>
                <c:pt idx="7" formatCode="0.0">
                  <c:v>91.241666666666674</c:v>
                </c:pt>
                <c:pt idx="8" formatCode="0.0">
                  <c:v>90.883333333333326</c:v>
                </c:pt>
                <c:pt idx="9" formatCode="0.0">
                  <c:v>89.8</c:v>
                </c:pt>
                <c:pt idx="10" formatCode="0.0">
                  <c:v>90.108333333333348</c:v>
                </c:pt>
                <c:pt idx="11" formatCode="0.0">
                  <c:v>89.100000000000009</c:v>
                </c:pt>
                <c:pt idx="12" formatCode="0.0">
                  <c:v>88.983333333333348</c:v>
                </c:pt>
                <c:pt idx="13" formatCode="0.0">
                  <c:v>89.125</c:v>
                </c:pt>
                <c:pt idx="14" formatCode="0.0">
                  <c:v>88.2</c:v>
                </c:pt>
              </c:numCache>
            </c:numRef>
          </c:val>
          <c:smooth val="0"/>
        </c:ser>
        <c:ser>
          <c:idx val="1"/>
          <c:order val="3"/>
          <c:tx>
            <c:strRef>
              <c:f>Sheet3!$H$1</c:f>
              <c:strCache>
                <c:ptCount val="1"/>
                <c:pt idx="0">
                  <c:v>General Social Survey</c:v>
                </c:pt>
              </c:strCache>
            </c:strRef>
          </c:tx>
          <c:spPr>
            <a:ln w="28575">
              <a:solidFill>
                <a:schemeClr val="accent2"/>
              </a:solidFill>
              <a:prstDash val="lgDash"/>
            </a:ln>
          </c:spPr>
          <c:marker>
            <c:symbol val="none"/>
          </c:marker>
          <c:cat>
            <c:numRef>
              <c:f>Sheet3!$G$2:$G$21</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Sheet3!$H$2:$H$21</c:f>
              <c:numCache>
                <c:formatCode>0.0</c:formatCode>
                <c:ptCount val="15"/>
                <c:pt idx="0">
                  <c:v>80.900000000000006</c:v>
                </c:pt>
                <c:pt idx="1">
                  <c:v>74.5</c:v>
                </c:pt>
                <c:pt idx="2">
                  <c:v>78</c:v>
                </c:pt>
                <c:pt idx="3">
                  <c:v>74.5</c:v>
                </c:pt>
                <c:pt idx="4">
                  <c:v>58.6</c:v>
                </c:pt>
                <c:pt idx="5">
                  <c:v>67.400000000000006</c:v>
                </c:pt>
                <c:pt idx="6">
                  <c:v>57.7</c:v>
                </c:pt>
                <c:pt idx="7">
                  <c:v>57.3</c:v>
                </c:pt>
                <c:pt idx="8">
                  <c:v>61.6</c:v>
                </c:pt>
                <c:pt idx="9">
                  <c:v>55.2</c:v>
                </c:pt>
                <c:pt idx="10">
                  <c:v>65.8</c:v>
                </c:pt>
                <c:pt idx="11">
                  <c:v>65.7</c:v>
                </c:pt>
              </c:numCache>
            </c:numRef>
          </c:val>
          <c:smooth val="0"/>
        </c:ser>
        <c:ser>
          <c:idx val="5"/>
          <c:order val="4"/>
          <c:tx>
            <c:strRef>
              <c:f>Sheet3!$K$1</c:f>
              <c:strCache>
                <c:ptCount val="1"/>
                <c:pt idx="0">
                  <c:v>Survey of Household Spending</c:v>
                </c:pt>
              </c:strCache>
            </c:strRef>
          </c:tx>
          <c:spPr>
            <a:ln w="28575">
              <a:solidFill>
                <a:srgbClr val="00B0F0"/>
              </a:solidFill>
              <a:prstDash val="sysDash"/>
            </a:ln>
          </c:spPr>
          <c:marker>
            <c:symbol val="none"/>
          </c:marker>
          <c:cat>
            <c:numRef>
              <c:f>Sheet3!$G$2:$G$21</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Sheet3!$K$2:$K$21</c:f>
              <c:numCache>
                <c:formatCode>General</c:formatCode>
                <c:ptCount val="15"/>
                <c:pt idx="1">
                  <c:v>70.5</c:v>
                </c:pt>
                <c:pt idx="2">
                  <c:v>71.900000000000006</c:v>
                </c:pt>
                <c:pt idx="3">
                  <c:v>69.2</c:v>
                </c:pt>
                <c:pt idx="4">
                  <c:v>71.099999999999994</c:v>
                </c:pt>
                <c:pt idx="5">
                  <c:v>71.599999999999994</c:v>
                </c:pt>
                <c:pt idx="6">
                  <c:v>64.900000000000006</c:v>
                </c:pt>
                <c:pt idx="7">
                  <c:v>63.4</c:v>
                </c:pt>
                <c:pt idx="8">
                  <c:v>64.2</c:v>
                </c:pt>
                <c:pt idx="9">
                  <c:v>66.900000000000006</c:v>
                </c:pt>
                <c:pt idx="10">
                  <c:v>65.7</c:v>
                </c:pt>
                <c:pt idx="11">
                  <c:v>65</c:v>
                </c:pt>
                <c:pt idx="12">
                  <c:v>67.2</c:v>
                </c:pt>
                <c:pt idx="13">
                  <c:v>66.8</c:v>
                </c:pt>
              </c:numCache>
            </c:numRef>
          </c:val>
          <c:smooth val="0"/>
        </c:ser>
        <c:dLbls>
          <c:showLegendKey val="0"/>
          <c:showVal val="0"/>
          <c:showCatName val="0"/>
          <c:showSerName val="0"/>
          <c:showPercent val="0"/>
          <c:showBubbleSize val="0"/>
        </c:dLbls>
        <c:smooth val="0"/>
        <c:axId val="613389464"/>
        <c:axId val="613389856"/>
        <c:extLst>
          <c:ext xmlns:c15="http://schemas.microsoft.com/office/drawing/2012/chart" uri="{02D57815-91ED-43cb-92C2-25804820EDAC}">
            <c15:filteredLineSeries>
              <c15:ser>
                <c:idx val="0"/>
                <c:order val="0"/>
                <c:tx>
                  <c:strRef>
                    <c:extLst>
                      <c:ext uri="{02D57815-91ED-43cb-92C2-25804820EDAC}">
                        <c15:formulaRef>
                          <c15:sqref>Sheet3!$G$1</c15:sqref>
                        </c15:formulaRef>
                      </c:ext>
                    </c:extLst>
                    <c:strCache>
                      <c:ptCount val="1"/>
                      <c:pt idx="0">
                        <c:v>Year</c:v>
                      </c:pt>
                    </c:strCache>
                  </c:strRef>
                </c:tx>
                <c:spPr>
                  <a:ln w="38100">
                    <a:solidFill>
                      <a:srgbClr val="C00000"/>
                    </a:solidFill>
                  </a:ln>
                </c:spPr>
                <c:marker>
                  <c:symbol val="none"/>
                </c:marker>
                <c:cat>
                  <c:numRef>
                    <c:extLst>
                      <c:ext uri="{02D57815-91ED-43cb-92C2-25804820EDAC}">
                        <c15:formulaRef>
                          <c15:sqref>Sheet3!$G$2:$G$21</c15:sqref>
                        </c15:formulaRef>
                      </c:ext>
                    </c:extLst>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extLst>
                      <c:ext uri="{02D57815-91ED-43cb-92C2-25804820EDAC}">
                        <c15:formulaRef>
                          <c15:sqref>Sheet3!$G$2:$G$21</c15:sqref>
                        </c15:formulaRef>
                      </c:ext>
                    </c:extLst>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val>
                <c:smooth val="0"/>
              </c15:ser>
            </c15:filteredLineSeries>
          </c:ext>
        </c:extLst>
      </c:lineChart>
      <c:catAx>
        <c:axId val="613389464"/>
        <c:scaling>
          <c:orientation val="minMax"/>
        </c:scaling>
        <c:delete val="0"/>
        <c:axPos val="b"/>
        <c:numFmt formatCode="General" sourceLinked="1"/>
        <c:majorTickMark val="out"/>
        <c:minorTickMark val="none"/>
        <c:tickLblPos val="nextTo"/>
        <c:crossAx val="613389856"/>
        <c:crosses val="autoZero"/>
        <c:auto val="1"/>
        <c:lblAlgn val="ctr"/>
        <c:lblOffset val="100"/>
        <c:noMultiLvlLbl val="0"/>
      </c:catAx>
      <c:valAx>
        <c:axId val="613389856"/>
        <c:scaling>
          <c:orientation val="minMax"/>
          <c:max val="100"/>
          <c:min val="45"/>
        </c:scaling>
        <c:delete val="0"/>
        <c:axPos val="l"/>
        <c:majorGridlines/>
        <c:numFmt formatCode="0.0" sourceLinked="1"/>
        <c:majorTickMark val="out"/>
        <c:minorTickMark val="none"/>
        <c:tickLblPos val="nextTo"/>
        <c:crossAx val="613389464"/>
        <c:crosses val="autoZero"/>
        <c:crossBetween val="between"/>
      </c:valAx>
      <c:spPr>
        <a:noFill/>
        <a:ln>
          <a:solidFill>
            <a:schemeClr val="tx1"/>
          </a:solidFill>
          <a:prstDash val="solid"/>
        </a:ln>
      </c:spPr>
    </c:plotArea>
    <c:legend>
      <c:legendPos val="tr"/>
      <c:layout>
        <c:manualLayout>
          <c:xMode val="edge"/>
          <c:yMode val="edge"/>
          <c:x val="6.69024237138897E-2"/>
          <c:y val="0.71477234359789532"/>
          <c:w val="0.86647826325080168"/>
          <c:h val="0.15094993407514201"/>
        </c:manualLayout>
      </c:layout>
      <c:overlay val="1"/>
      <c:spPr>
        <a:solidFill>
          <a:schemeClr val="bg1"/>
        </a:solidFill>
        <a:ln w="25400">
          <a:solidFill>
            <a:schemeClr val="tx1"/>
          </a:solidFill>
        </a:ln>
      </c:spPr>
      <c:txPr>
        <a:bodyPr/>
        <a:lstStyle/>
        <a:p>
          <a:pPr>
            <a:defRPr b="1" i="0" baseline="0"/>
          </a:pPr>
          <a:endParaRPr lang="fr-FR"/>
        </a:p>
      </c:txPr>
    </c:legend>
    <c:plotVisOnly val="1"/>
    <c:dispBlanksAs val="gap"/>
    <c:showDLblsOverMax val="0"/>
  </c:chart>
  <c:spPr>
    <a:noFill/>
  </c:spPr>
  <c:txPr>
    <a:bodyPr/>
    <a:lstStyle/>
    <a:p>
      <a:pPr>
        <a:defRPr sz="900" baseline="0"/>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Bar14</b:Tag>
    <b:SourceType>ConferenceProceedings</b:SourceType>
    <b:Guid>{CDF8D96E-987B-497B-ACA0-BA52E20DEAC9}</b:Guid>
    <b:LCID>en-CA</b:LCID>
    <b:Author>
      <b:Author>
        <b:NameList>
          <b:Person>
            <b:Last>Baribeau</b:Last>
            <b:First>Beatrice</b:First>
          </b:Person>
        </b:NameList>
      </b:Author>
    </b:Author>
    <b:Title>Could Nonresponse Be Biasing Trends Of Health Estimates?</b:Title>
    <b:Year>2014</b:Year>
    <b:ConferenceName>Proceedings of the Joint Statistical Meetings of the American Statistical Association</b:ConferenceName>
    <b:RefOrder>2</b:RefOrder>
  </b:Source>
  <b:Source>
    <b:Tag>Pan10</b:Tag>
    <b:SourceType>ConferenceProceedings</b:SourceType>
    <b:Guid>{7A50580C-B733-4155-8915-E4A41ED9EAFA}</b:Guid>
    <b:LCID>en-CA</b:LCID>
    <b:Title>Use of the Canada Child Tax Benefit as a frame for the Survey of Young Canadians</b:Title>
    <b:Year>2010</b:Year>
    <b:ConferenceName>Proceedings of Statistics Canada Symposium 2010</b:ConferenceName>
    <b:City>Ottawa</b:City>
    <b:Publisher>Statistics Canada</b:Publisher>
    <b:Author>
      <b:Author>
        <b:NameList>
          <b:Person>
            <b:Last>Pantel</b:Last>
            <b:First>Martin</b:First>
          </b:Person>
        </b:NameList>
      </b:Author>
    </b:Author>
    <b:RefOrder>1</b:RefOrder>
  </b:Source>
</b:Sources>
</file>

<file path=customXml/itemProps1.xml><?xml version="1.0" encoding="utf-8"?>
<ds:datastoreItem xmlns:ds="http://schemas.openxmlformats.org/officeDocument/2006/customXml" ds:itemID="{AC293B95-26CF-4AA2-B83A-4AFBF113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3322</TotalTime>
  <Pages>5</Pages>
  <Words>2324</Words>
  <Characters>12788</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StatCan</Company>
  <LinksUpToDate>false</LinksUpToDate>
  <CharactersWithSpaces>15082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Gaudet</dc:creator>
  <cp:keywords/>
  <dc:description/>
  <cp:lastModifiedBy>José Gaudet</cp:lastModifiedBy>
  <cp:revision>65</cp:revision>
  <cp:lastPrinted>2016-08-02T19:01:00Z</cp:lastPrinted>
  <dcterms:created xsi:type="dcterms:W3CDTF">2016-06-13T18:06:00Z</dcterms:created>
  <dcterms:modified xsi:type="dcterms:W3CDTF">2016-08-03T18:53:00Z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NRW 2016:  Acceptance</vt:lpwstr>
  </property>
  <property fmtid="{D5CDD505-2E9C-101B-9397-08002B2CF9AE}" pid="4" name="_AuthorEmail">
    <vt:lpwstr>jose.gaudet@canada.ca</vt:lpwstr>
  </property>
  <property fmtid="{D5CDD505-2E9C-101B-9397-08002B2CF9AE}" pid="5" name="_AuthorEmailDisplayName">
    <vt:lpwstr>Gaudet, José (STATCAN)</vt:lpwstr>
  </property>
  <property fmtid="{D5CDD505-2E9C-101B-9397-08002B2CF9AE}" pid="7" name="_AdHocReviewCycleID">
    <vt:i4>-1178828951</vt:i4>
  </property>
</Properties>
</file>