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EED" w:rsidRPr="0060013B" w:rsidRDefault="009F5283" w:rsidP="00580EED">
      <w:pPr>
        <w:pStyle w:val="Sterktsitat"/>
        <w:rPr>
          <w:rStyle w:val="Overskrift2Tegn"/>
          <w:b/>
          <w:color w:val="000000" w:themeColor="text1"/>
          <w:sz w:val="40"/>
          <w:szCs w:val="40"/>
          <w:lang w:val="en-GB"/>
        </w:rPr>
      </w:pPr>
      <w:r>
        <w:rPr>
          <w:rStyle w:val="Overskrift2Tegn"/>
          <w:b/>
          <w:color w:val="000000" w:themeColor="text1"/>
          <w:sz w:val="40"/>
          <w:szCs w:val="40"/>
          <w:lang w:val="en-GB"/>
        </w:rPr>
        <w:t>Better to push than to beat around the bush: An argument for higher initial frequency in contact attempts</w:t>
      </w:r>
    </w:p>
    <w:p w:rsidR="00580EED" w:rsidRDefault="00580EED" w:rsidP="00580EED">
      <w:pPr>
        <w:rPr>
          <w:rStyle w:val="Overskrift2Tegn"/>
          <w:lang w:val="en-GB"/>
        </w:rPr>
      </w:pPr>
    </w:p>
    <w:p w:rsidR="00580EED" w:rsidRPr="0060013B" w:rsidRDefault="00580EED" w:rsidP="00580EED">
      <w:pPr>
        <w:rPr>
          <w:rStyle w:val="Overskrift2Tegn"/>
          <w:rFonts w:asciiTheme="minorHAnsi" w:hAnsiTheme="minorHAnsi"/>
          <w:b w:val="0"/>
          <w:color w:val="000000" w:themeColor="text1"/>
          <w:sz w:val="22"/>
          <w:szCs w:val="22"/>
          <w:lang w:val="en-GB"/>
        </w:rPr>
      </w:pPr>
      <w:r w:rsidRPr="0060013B">
        <w:rPr>
          <w:rStyle w:val="Overskrift2Tegn"/>
          <w:rFonts w:asciiTheme="minorHAnsi" w:hAnsiTheme="minorHAnsi"/>
          <w:b w:val="0"/>
          <w:color w:val="000000" w:themeColor="text1"/>
          <w:sz w:val="22"/>
          <w:szCs w:val="22"/>
          <w:lang w:val="en-GB"/>
        </w:rPr>
        <w:t>By Cato Hernes Jensen, Martin Ars</w:t>
      </w:r>
      <w:r>
        <w:rPr>
          <w:rStyle w:val="Overskrift2Tegn"/>
          <w:rFonts w:asciiTheme="minorHAnsi" w:hAnsiTheme="minorHAnsi"/>
          <w:b w:val="0"/>
          <w:color w:val="000000" w:themeColor="text1"/>
          <w:sz w:val="22"/>
          <w:szCs w:val="22"/>
          <w:lang w:val="en-GB"/>
        </w:rPr>
        <w:t>tad Isungset and Lise Snellingen Bye, Statistics Norway</w:t>
      </w:r>
    </w:p>
    <w:p w:rsidR="00340C26" w:rsidRDefault="00340C26" w:rsidP="00580EED">
      <w:pPr>
        <w:rPr>
          <w:lang w:val="en-GB"/>
        </w:rPr>
      </w:pPr>
    </w:p>
    <w:p w:rsidR="00580EED" w:rsidRDefault="00580EED" w:rsidP="00580EED">
      <w:pPr>
        <w:rPr>
          <w:lang w:val="en-GB"/>
        </w:rPr>
      </w:pPr>
      <w:r>
        <w:rPr>
          <w:rStyle w:val="Overskrift2Tegn"/>
          <w:lang w:val="en-GB"/>
        </w:rPr>
        <w:t>Introduction</w:t>
      </w:r>
    </w:p>
    <w:p w:rsidR="00F06AB2" w:rsidRDefault="00F06AB2" w:rsidP="00580EED">
      <w:pPr>
        <w:rPr>
          <w:lang w:val="en-GB"/>
        </w:rPr>
      </w:pPr>
    </w:p>
    <w:p w:rsidR="0026672F" w:rsidRDefault="00F06AB2" w:rsidP="00580EED">
      <w:pPr>
        <w:rPr>
          <w:lang w:val="en-GB"/>
        </w:rPr>
      </w:pPr>
      <w:r>
        <w:rPr>
          <w:lang w:val="en-GB"/>
        </w:rPr>
        <w:t xml:space="preserve">High response rates </w:t>
      </w:r>
      <w:r w:rsidR="0026672F">
        <w:rPr>
          <w:lang w:val="en-GB"/>
        </w:rPr>
        <w:t xml:space="preserve">in surveys </w:t>
      </w:r>
      <w:r>
        <w:rPr>
          <w:lang w:val="en-GB"/>
        </w:rPr>
        <w:t xml:space="preserve">are regarded as important in order to produce </w:t>
      </w:r>
      <w:r w:rsidR="00E13365">
        <w:rPr>
          <w:lang w:val="en-GB"/>
        </w:rPr>
        <w:t>representative</w:t>
      </w:r>
      <w:r>
        <w:rPr>
          <w:lang w:val="en-GB"/>
        </w:rPr>
        <w:t xml:space="preserve"> statistics</w:t>
      </w:r>
      <w:r w:rsidR="00E13365">
        <w:rPr>
          <w:lang w:val="en-GB"/>
        </w:rPr>
        <w:t xml:space="preserve"> of high quality</w:t>
      </w:r>
      <w:r>
        <w:rPr>
          <w:lang w:val="en-GB"/>
        </w:rPr>
        <w:t xml:space="preserve">. In recent years the </w:t>
      </w:r>
      <w:r w:rsidR="0026672F">
        <w:rPr>
          <w:lang w:val="en-GB"/>
        </w:rPr>
        <w:t>focus upon reducing the non-response rate in surveys has gained</w:t>
      </w:r>
      <w:r>
        <w:rPr>
          <w:lang w:val="en-GB"/>
        </w:rPr>
        <w:t xml:space="preserve"> more and more attention.</w:t>
      </w:r>
      <w:r w:rsidR="0026672F">
        <w:rPr>
          <w:lang w:val="en-GB"/>
        </w:rPr>
        <w:t xml:space="preserve"> The central question all survey administrators should ask </w:t>
      </w:r>
      <w:r w:rsidR="008D0E75">
        <w:rPr>
          <w:lang w:val="en-GB"/>
        </w:rPr>
        <w:t xml:space="preserve">is which </w:t>
      </w:r>
      <w:r w:rsidR="0026672F">
        <w:rPr>
          <w:lang w:val="en-GB"/>
        </w:rPr>
        <w:t xml:space="preserve">model provides contact with as many </w:t>
      </w:r>
      <w:r w:rsidR="008D0E75">
        <w:rPr>
          <w:lang w:val="en-GB"/>
        </w:rPr>
        <w:t>respondents</w:t>
      </w:r>
      <w:r w:rsidR="0026672F">
        <w:rPr>
          <w:lang w:val="en-GB"/>
        </w:rPr>
        <w:t xml:space="preserve"> as possible</w:t>
      </w:r>
      <w:r w:rsidR="00F35E79">
        <w:rPr>
          <w:lang w:val="en-GB"/>
        </w:rPr>
        <w:t xml:space="preserve"> and</w:t>
      </w:r>
      <w:r w:rsidR="0026672F">
        <w:rPr>
          <w:lang w:val="en-GB"/>
        </w:rPr>
        <w:t xml:space="preserve"> still manages to maintain high quality in the data</w:t>
      </w:r>
      <w:r w:rsidR="008D0E75">
        <w:rPr>
          <w:lang w:val="en-GB"/>
        </w:rPr>
        <w:t xml:space="preserve"> and keep</w:t>
      </w:r>
      <w:r w:rsidR="00905F8F">
        <w:rPr>
          <w:lang w:val="en-GB"/>
        </w:rPr>
        <w:t>s</w:t>
      </w:r>
      <w:r w:rsidR="008D0E75">
        <w:rPr>
          <w:lang w:val="en-GB"/>
        </w:rPr>
        <w:t xml:space="preserve"> costs down</w:t>
      </w:r>
      <w:r w:rsidR="0026672F">
        <w:rPr>
          <w:lang w:val="en-GB"/>
        </w:rPr>
        <w:t xml:space="preserve">. </w:t>
      </w:r>
      <w:r w:rsidR="00483100">
        <w:rPr>
          <w:lang w:val="en-GB"/>
        </w:rPr>
        <w:t>We search for a</w:t>
      </w:r>
      <w:r w:rsidR="0026672F">
        <w:rPr>
          <w:lang w:val="en-GB"/>
        </w:rPr>
        <w:t xml:space="preserve"> model that gives as many </w:t>
      </w:r>
      <w:r w:rsidR="00F35E79">
        <w:rPr>
          <w:lang w:val="en-GB"/>
        </w:rPr>
        <w:t xml:space="preserve">successful </w:t>
      </w:r>
      <w:r w:rsidR="00F201EC">
        <w:rPr>
          <w:lang w:val="en-GB"/>
        </w:rPr>
        <w:t xml:space="preserve">contacts </w:t>
      </w:r>
      <w:r w:rsidR="00483100">
        <w:rPr>
          <w:lang w:val="en-GB"/>
        </w:rPr>
        <w:t>as possible, without ending up with</w:t>
      </w:r>
      <w:r w:rsidR="0026672F">
        <w:rPr>
          <w:lang w:val="en-GB"/>
        </w:rPr>
        <w:t xml:space="preserve"> a biased </w:t>
      </w:r>
      <w:r w:rsidR="00DC5EB3">
        <w:rPr>
          <w:lang w:val="en-GB"/>
        </w:rPr>
        <w:t>sample</w:t>
      </w:r>
      <w:r w:rsidR="0026672F">
        <w:rPr>
          <w:lang w:val="en-GB"/>
        </w:rPr>
        <w:t>.</w:t>
      </w:r>
      <w:r w:rsidR="00483100">
        <w:rPr>
          <w:lang w:val="en-GB"/>
        </w:rPr>
        <w:t xml:space="preserve"> </w:t>
      </w:r>
      <w:r w:rsidR="0026672F">
        <w:rPr>
          <w:lang w:val="en-GB"/>
        </w:rPr>
        <w:t xml:space="preserve">In the search for such a model, we debate the role of communication </w:t>
      </w:r>
      <w:r w:rsidR="008D0E75">
        <w:rPr>
          <w:lang w:val="en-GB"/>
        </w:rPr>
        <w:t>frequency</w:t>
      </w:r>
      <w:r w:rsidR="0026672F">
        <w:rPr>
          <w:lang w:val="en-GB"/>
        </w:rPr>
        <w:t xml:space="preserve">. </w:t>
      </w:r>
      <w:r w:rsidR="00F35E79">
        <w:rPr>
          <w:lang w:val="en-GB"/>
        </w:rPr>
        <w:t>In other words,</w:t>
      </w:r>
      <w:r w:rsidR="000015D8">
        <w:rPr>
          <w:lang w:val="en-GB"/>
        </w:rPr>
        <w:t xml:space="preserve"> </w:t>
      </w:r>
      <w:r w:rsidR="00F35E79">
        <w:rPr>
          <w:lang w:val="en-GB"/>
        </w:rPr>
        <w:t xml:space="preserve">is it better to “wait the respondent </w:t>
      </w:r>
      <w:r w:rsidR="00DE379C">
        <w:rPr>
          <w:lang w:val="en-GB"/>
        </w:rPr>
        <w:t xml:space="preserve">out” </w:t>
      </w:r>
      <w:r w:rsidR="00F35E79">
        <w:rPr>
          <w:lang w:val="en-GB"/>
        </w:rPr>
        <w:t xml:space="preserve">or should one contact the respondent with </w:t>
      </w:r>
      <w:r w:rsidR="00DE379C">
        <w:rPr>
          <w:lang w:val="en-GB"/>
        </w:rPr>
        <w:t>fierce and fury?</w:t>
      </w:r>
      <w:r w:rsidR="00905F8F">
        <w:rPr>
          <w:lang w:val="en-GB"/>
        </w:rPr>
        <w:t xml:space="preserve"> </w:t>
      </w:r>
    </w:p>
    <w:p w:rsidR="0026672F" w:rsidRDefault="0026672F" w:rsidP="00580EED">
      <w:pPr>
        <w:rPr>
          <w:lang w:val="en-GB"/>
        </w:rPr>
      </w:pPr>
    </w:p>
    <w:p w:rsidR="0026672F" w:rsidRDefault="0026672F" w:rsidP="00580EED">
      <w:pPr>
        <w:rPr>
          <w:lang w:val="en-GB"/>
        </w:rPr>
      </w:pPr>
    </w:p>
    <w:p w:rsidR="00580EED" w:rsidRDefault="00580EED" w:rsidP="00580EED">
      <w:pPr>
        <w:rPr>
          <w:rStyle w:val="Overskrift2Tegn"/>
          <w:lang w:val="en-GB"/>
        </w:rPr>
      </w:pPr>
      <w:r>
        <w:rPr>
          <w:rStyle w:val="Overskrift2Tegn"/>
          <w:lang w:val="en-GB"/>
        </w:rPr>
        <w:t>Background</w:t>
      </w:r>
    </w:p>
    <w:p w:rsidR="00F06AB2" w:rsidRDefault="00F06AB2" w:rsidP="00F06AB2">
      <w:pPr>
        <w:rPr>
          <w:lang w:val="en-US"/>
        </w:rPr>
      </w:pPr>
    </w:p>
    <w:p w:rsidR="00567390" w:rsidRDefault="00B03F6B" w:rsidP="00F06AB2">
      <w:pPr>
        <w:rPr>
          <w:lang w:val="en-US"/>
        </w:rPr>
      </w:pPr>
      <w:r>
        <w:rPr>
          <w:lang w:val="en-US"/>
        </w:rPr>
        <w:t xml:space="preserve">When speaking of communication frequency we refer to the number of contacts attempts within a limited time period. </w:t>
      </w:r>
      <w:r w:rsidR="00E94FDA">
        <w:rPr>
          <w:lang w:val="en-US"/>
        </w:rPr>
        <w:t xml:space="preserve">Theories in survey-research provide limited insight into the importance of </w:t>
      </w:r>
      <w:r w:rsidR="002F2855">
        <w:rPr>
          <w:lang w:val="en-US"/>
        </w:rPr>
        <w:t>frequency of</w:t>
      </w:r>
      <w:r w:rsidR="00DE379C">
        <w:rPr>
          <w:lang w:val="en-US"/>
        </w:rPr>
        <w:t xml:space="preserve"> contact</w:t>
      </w:r>
      <w:r w:rsidR="002F2855">
        <w:rPr>
          <w:lang w:val="en-US"/>
        </w:rPr>
        <w:t xml:space="preserve"> attempts</w:t>
      </w:r>
      <w:r w:rsidR="00E94FDA">
        <w:rPr>
          <w:lang w:val="en-US"/>
        </w:rPr>
        <w:t>.</w:t>
      </w:r>
      <w:r w:rsidR="00F201EC">
        <w:rPr>
          <w:lang w:val="en-US"/>
        </w:rPr>
        <w:t xml:space="preserve"> </w:t>
      </w:r>
      <w:r w:rsidR="00803F69">
        <w:rPr>
          <w:lang w:val="en-US"/>
        </w:rPr>
        <w:t>Current models emphasize</w:t>
      </w:r>
      <w:r w:rsidR="00D5116E">
        <w:rPr>
          <w:lang w:val="en-US"/>
        </w:rPr>
        <w:t xml:space="preserve"> that the number of contacts </w:t>
      </w:r>
      <w:r w:rsidR="00E13365">
        <w:rPr>
          <w:lang w:val="en-US"/>
        </w:rPr>
        <w:t>combined with</w:t>
      </w:r>
      <w:r w:rsidR="00D5116E">
        <w:rPr>
          <w:lang w:val="en-US"/>
        </w:rPr>
        <w:t xml:space="preserve"> the timing of contacts</w:t>
      </w:r>
      <w:r w:rsidR="002D20F2">
        <w:rPr>
          <w:lang w:val="en-US"/>
        </w:rPr>
        <w:t xml:space="preserve"> </w:t>
      </w:r>
      <w:r w:rsidR="002F2855">
        <w:rPr>
          <w:lang w:val="en-US"/>
        </w:rPr>
        <w:fldChar w:fldCharType="begin"/>
      </w:r>
      <w:r w:rsidR="002F2855">
        <w:rPr>
          <w:lang w:val="en-US"/>
        </w:rPr>
        <w:instrText xml:space="preserve"> ADDIN EN.CITE &lt;EndNote&gt;&lt;Cite&gt;&lt;Author&gt;Groves&lt;/Author&gt;&lt;Year&gt;2004&lt;/Year&gt;&lt;RecNum&gt;1&lt;/RecNum&gt;&lt;DisplayText&gt;(Groves, 2004)&lt;/DisplayText&gt;&lt;record&gt;&lt;rec-number&gt;1&lt;/rec-number&gt;&lt;foreign-keys&gt;&lt;key app="EN" db-id="v0a52vr2zew0aeev2ao5ex0s0vawapxdp2ap" timestamp="1470386516"&gt;1&lt;/key&gt;&lt;/foreign-keys&gt;&lt;ref-type name="Book"&gt;6&lt;/ref-type&gt;&lt;contributors&gt;&lt;authors&gt;&lt;author&gt;Groves, Robert M.&lt;/author&gt;&lt;/authors&gt;&lt;/contributors&gt;&lt;titles&gt;&lt;title&gt;Survey methodology&lt;/title&gt;&lt;secondary-title&gt;Wiley series in survey methodology&lt;/secondary-title&gt;&lt;/titles&gt;&lt;keywords&gt;&lt;keyword&gt;Surveys -- Methodology&lt;/keyword&gt;&lt;keyword&gt;Social surveys -- Methodology&lt;/keyword&gt;&lt;keyword&gt;Social sciences -- Research Statistical methods&lt;/keyword&gt;&lt;keyword&gt;Data Collection&lt;/keyword&gt;&lt;keyword&gt;Social Sciences&lt;/keyword&gt;&lt;keyword&gt;Research&lt;/keyword&gt;&lt;keyword&gt;Methods&lt;/keyword&gt;&lt;keyword&gt;Statistics as Topic&lt;/keyword&gt;&lt;keyword&gt;Surveymetoder (Sosiologi)&lt;/keyword&gt;&lt;keyword&gt;statistikk&lt;/keyword&gt;&lt;keyword&gt;metode&lt;/keyword&gt;&lt;keyword&gt;statistisk&lt;/keyword&gt;&lt;keyword&gt;survey&lt;/keyword&gt;&lt;keyword&gt;forskningsmetoder&lt;/keyword&gt;&lt;keyword&gt;samfunnsvitenskap&lt;/keyword&gt;&lt;keyword&gt;samfunnsvitenskapelige&lt;/keyword&gt;&lt;keyword&gt;statistiske metoder&lt;/keyword&gt;&lt;keyword&gt;statistiske undersøkelser&lt;/keyword&gt;&lt;keyword&gt;intervjuundersøkelser&lt;/keyword&gt;&lt;/keywords&gt;&lt;dates&gt;&lt;year&gt;2004&lt;/year&gt;&lt;/dates&gt;&lt;pub-location&gt;Hoboken, N.J&lt;/pub-location&gt;&lt;publisher&gt;Wiley&lt;/publisher&gt;&lt;isbn&gt;0471483486&lt;/isbn&gt;&lt;urls&gt;&lt;/urls&gt;&lt;/record&gt;&lt;/Cite&gt;&lt;/EndNote&gt;</w:instrText>
      </w:r>
      <w:r w:rsidR="002F2855">
        <w:rPr>
          <w:lang w:val="en-US"/>
        </w:rPr>
        <w:fldChar w:fldCharType="separate"/>
      </w:r>
      <w:r w:rsidR="002F2855">
        <w:rPr>
          <w:noProof/>
          <w:lang w:val="en-US"/>
        </w:rPr>
        <w:t>(Groves, 2004)</w:t>
      </w:r>
      <w:r w:rsidR="002F2855">
        <w:rPr>
          <w:lang w:val="en-US"/>
        </w:rPr>
        <w:fldChar w:fldCharType="end"/>
      </w:r>
      <w:r w:rsidR="00223DBD">
        <w:rPr>
          <w:lang w:val="en-US"/>
        </w:rPr>
        <w:t xml:space="preserve"> </w:t>
      </w:r>
      <w:r w:rsidR="002F2855" w:rsidRPr="003C07F1">
        <w:rPr>
          <w:lang w:val="en-US"/>
        </w:rPr>
        <w:t>matters</w:t>
      </w:r>
      <w:r w:rsidR="002F2855">
        <w:rPr>
          <w:lang w:val="en-US"/>
        </w:rPr>
        <w:t xml:space="preserve">, but they seldom go into detail on frequency. </w:t>
      </w:r>
    </w:p>
    <w:p w:rsidR="00803F69" w:rsidRDefault="00803F69" w:rsidP="00F06AB2">
      <w:pPr>
        <w:rPr>
          <w:lang w:val="en-US"/>
        </w:rPr>
      </w:pPr>
    </w:p>
    <w:p w:rsidR="00567390" w:rsidRDefault="00F06AB2" w:rsidP="00F06AB2">
      <w:pPr>
        <w:rPr>
          <w:lang w:val="en-US"/>
        </w:rPr>
      </w:pPr>
      <w:r w:rsidRPr="00540646">
        <w:rPr>
          <w:lang w:val="en-US"/>
        </w:rPr>
        <w:t xml:space="preserve">When collecting survey data, </w:t>
      </w:r>
      <w:r>
        <w:rPr>
          <w:lang w:val="en-US"/>
        </w:rPr>
        <w:t>t</w:t>
      </w:r>
      <w:r w:rsidRPr="00540646">
        <w:rPr>
          <w:lang w:val="en-US"/>
        </w:rPr>
        <w:t xml:space="preserve">he </w:t>
      </w:r>
      <w:r>
        <w:rPr>
          <w:lang w:val="en-US"/>
        </w:rPr>
        <w:t xml:space="preserve">communication with interview participants has traditionally been paper based </w:t>
      </w:r>
      <w:r w:rsidR="004F4038">
        <w:rPr>
          <w:lang w:val="en-US"/>
        </w:rPr>
        <w:t xml:space="preserve">and </w:t>
      </w:r>
      <w:r>
        <w:rPr>
          <w:lang w:val="en-US"/>
        </w:rPr>
        <w:t xml:space="preserve">delivered by mail service. </w:t>
      </w:r>
      <w:r w:rsidR="00DC66AA">
        <w:rPr>
          <w:lang w:val="en-US"/>
        </w:rPr>
        <w:t>This</w:t>
      </w:r>
      <w:r w:rsidR="004F4038">
        <w:rPr>
          <w:lang w:val="en-US"/>
        </w:rPr>
        <w:t xml:space="preserve"> communication </w:t>
      </w:r>
      <w:r w:rsidR="00DC66AA">
        <w:rPr>
          <w:lang w:val="en-US"/>
        </w:rPr>
        <w:t>is</w:t>
      </w:r>
      <w:r w:rsidR="004F4038">
        <w:rPr>
          <w:lang w:val="en-US"/>
        </w:rPr>
        <w:t xml:space="preserve"> slow and there </w:t>
      </w:r>
      <w:r w:rsidR="00DC66AA">
        <w:rPr>
          <w:lang w:val="en-US"/>
        </w:rPr>
        <w:t>are</w:t>
      </w:r>
      <w:r w:rsidR="004F4038">
        <w:rPr>
          <w:lang w:val="en-US"/>
        </w:rPr>
        <w:t xml:space="preserve"> </w:t>
      </w:r>
      <w:r w:rsidR="00567390">
        <w:rPr>
          <w:lang w:val="en-US"/>
        </w:rPr>
        <w:t xml:space="preserve">therefore limits on how many letters to send and how fast they </w:t>
      </w:r>
      <w:r w:rsidR="00DC66AA">
        <w:rPr>
          <w:lang w:val="en-US"/>
        </w:rPr>
        <w:t>can be</w:t>
      </w:r>
      <w:r w:rsidR="00567390">
        <w:rPr>
          <w:lang w:val="en-US"/>
        </w:rPr>
        <w:t xml:space="preserve"> received.</w:t>
      </w:r>
      <w:r w:rsidR="00727F63">
        <w:rPr>
          <w:lang w:val="en-US"/>
        </w:rPr>
        <w:t xml:space="preserve"> In addition it is not possible to specify accurate delivery times. This may vary considerably, and we exert little control over the timing. </w:t>
      </w:r>
      <w:r w:rsidR="00567390">
        <w:rPr>
          <w:lang w:val="en-US"/>
        </w:rPr>
        <w:t xml:space="preserve">It </w:t>
      </w:r>
      <w:r w:rsidR="00DC66AA">
        <w:rPr>
          <w:lang w:val="en-US"/>
        </w:rPr>
        <w:t>has</w:t>
      </w:r>
      <w:r w:rsidR="00567390">
        <w:rPr>
          <w:lang w:val="en-US"/>
        </w:rPr>
        <w:t xml:space="preserve"> also </w:t>
      </w:r>
      <w:r w:rsidR="00DC66AA">
        <w:rPr>
          <w:lang w:val="en-US"/>
        </w:rPr>
        <w:t xml:space="preserve">been </w:t>
      </w:r>
      <w:r w:rsidR="00567390">
        <w:rPr>
          <w:lang w:val="en-US"/>
        </w:rPr>
        <w:t>thought that participants should not be pressured</w:t>
      </w:r>
      <w:r w:rsidR="00ED342D">
        <w:rPr>
          <w:lang w:val="en-US"/>
        </w:rPr>
        <w:t xml:space="preserve"> too much</w:t>
      </w:r>
      <w:r w:rsidR="00567390">
        <w:rPr>
          <w:lang w:val="en-US"/>
        </w:rPr>
        <w:t xml:space="preserve">, so they would withdraw from the study. They should be given time and space. </w:t>
      </w:r>
      <w:r w:rsidR="002F2855">
        <w:rPr>
          <w:lang w:val="en-US"/>
        </w:rPr>
        <w:t>In these modern times, we argue for the opposite</w:t>
      </w:r>
      <w:r w:rsidR="00567390">
        <w:rPr>
          <w:lang w:val="en-US"/>
        </w:rPr>
        <w:t xml:space="preserve">. </w:t>
      </w:r>
    </w:p>
    <w:p w:rsidR="00567390" w:rsidRDefault="00567390" w:rsidP="00F06AB2">
      <w:pPr>
        <w:rPr>
          <w:lang w:val="en-US"/>
        </w:rPr>
      </w:pPr>
    </w:p>
    <w:p w:rsidR="00DB6479" w:rsidRDefault="00567390" w:rsidP="00F06AB2">
      <w:pPr>
        <w:rPr>
          <w:lang w:val="en-US"/>
        </w:rPr>
      </w:pPr>
      <w:r>
        <w:rPr>
          <w:lang w:val="en-US"/>
        </w:rPr>
        <w:t>New</w:t>
      </w:r>
      <w:r w:rsidR="00F06AB2">
        <w:rPr>
          <w:lang w:val="en-US"/>
        </w:rPr>
        <w:t xml:space="preserve"> technological communication techniques such as e-mail and </w:t>
      </w:r>
      <w:r w:rsidR="00ED342D">
        <w:rPr>
          <w:lang w:val="en-US"/>
        </w:rPr>
        <w:t>text-messages</w:t>
      </w:r>
      <w:r w:rsidR="00F06AB2">
        <w:rPr>
          <w:lang w:val="en-US"/>
        </w:rPr>
        <w:t xml:space="preserve"> are </w:t>
      </w:r>
      <w:r w:rsidR="00ED342D">
        <w:rPr>
          <w:lang w:val="en-US"/>
        </w:rPr>
        <w:t xml:space="preserve">now more frequently used </w:t>
      </w:r>
      <w:r w:rsidR="00F06AB2">
        <w:rPr>
          <w:lang w:val="en-US"/>
        </w:rPr>
        <w:t xml:space="preserve">when communicating with participants in surveys. </w:t>
      </w:r>
      <w:r w:rsidR="00D848C1">
        <w:rPr>
          <w:lang w:val="en-US"/>
        </w:rPr>
        <w:t xml:space="preserve">This allows more control over frequency and timing. </w:t>
      </w:r>
      <w:r w:rsidR="00F06AB2">
        <w:rPr>
          <w:lang w:val="en-US"/>
        </w:rPr>
        <w:t xml:space="preserve">Messages can be sent in an instant, without any delays. The respondent receives and reads the message almost immediately.  This provides new opportunities in terms of </w:t>
      </w:r>
      <w:r>
        <w:rPr>
          <w:lang w:val="en-US"/>
        </w:rPr>
        <w:t>combi</w:t>
      </w:r>
      <w:r w:rsidR="00D848C1">
        <w:rPr>
          <w:lang w:val="en-US"/>
        </w:rPr>
        <w:t>ning numbers of contacts and time of contact</w:t>
      </w:r>
      <w:r>
        <w:rPr>
          <w:lang w:val="en-US"/>
        </w:rPr>
        <w:t>. M</w:t>
      </w:r>
      <w:r w:rsidR="00F06AB2">
        <w:rPr>
          <w:lang w:val="en-US"/>
        </w:rPr>
        <w:t xml:space="preserve">essages can be sent with a high frequency and the timing can </w:t>
      </w:r>
      <w:r w:rsidR="00D848C1">
        <w:rPr>
          <w:lang w:val="en-US"/>
        </w:rPr>
        <w:t xml:space="preserve">be </w:t>
      </w:r>
      <w:r>
        <w:rPr>
          <w:lang w:val="en-US"/>
        </w:rPr>
        <w:t xml:space="preserve">varied to fit </w:t>
      </w:r>
      <w:r w:rsidR="00D848C1">
        <w:rPr>
          <w:lang w:val="en-US"/>
        </w:rPr>
        <w:t xml:space="preserve">the respondents’ </w:t>
      </w:r>
      <w:r w:rsidR="00D42FF1">
        <w:rPr>
          <w:lang w:val="en-US"/>
        </w:rPr>
        <w:t>accessibility-pattern</w:t>
      </w:r>
      <w:r w:rsidR="00D848C1">
        <w:rPr>
          <w:lang w:val="en-US"/>
        </w:rPr>
        <w:t xml:space="preserve"> down to the minute</w:t>
      </w:r>
      <w:r w:rsidR="00F06AB2">
        <w:rPr>
          <w:lang w:val="en-US"/>
        </w:rPr>
        <w:t xml:space="preserve">. </w:t>
      </w:r>
      <w:r w:rsidR="00722E6F">
        <w:rPr>
          <w:lang w:val="en-US"/>
        </w:rPr>
        <w:t xml:space="preserve">However, leading scholars in the survey field has warned against too frequent reminders </w:t>
      </w:r>
      <w:r w:rsidR="00722E6F">
        <w:rPr>
          <w:lang w:val="en-US"/>
        </w:rPr>
        <w:fldChar w:fldCharType="begin"/>
      </w:r>
      <w:r w:rsidR="00722E6F">
        <w:rPr>
          <w:lang w:val="en-US"/>
        </w:rPr>
        <w:instrText xml:space="preserve"> ADDIN EN.CITE &lt;EndNote&gt;&lt;Cite&gt;&lt;Author&gt;Dillman&lt;/Author&gt;&lt;Year&gt;2014&lt;/Year&gt;&lt;RecNum&gt;2&lt;/RecNum&gt;&lt;DisplayText&gt;(Dillman, Smyth, &amp;amp; Christian, 2014)&lt;/DisplayText&gt;&lt;record&gt;&lt;rec-number&gt;2&lt;/rec-number&gt;&lt;foreign-keys&gt;&lt;key app="EN" db-id="v0a52vr2zew0aeev2ao5ex0s0vawapxdp2ap" timestamp="1470388934"&gt;2&lt;/key&gt;&lt;/foreign-keys&gt;&lt;ref-type name="Book"&gt;6&lt;/ref-type&gt;&lt;contributors&gt;&lt;authors&gt;&lt;author&gt;Dillman, Don A.&lt;/author&gt;&lt;author&gt;Smyth, Jolene D.&lt;/author&gt;&lt;author&gt;Christian, Leah Melani&lt;/author&gt;&lt;/authors&gt;&lt;/contributors&gt;&lt;titles&gt;&lt;title&gt;Internet, phone, mail, and mixed-mode surveys : the tailored design method&lt;/title&gt;&lt;/titles&gt;&lt;edition&gt;4th ed.&lt;/edition&gt;&lt;keywords&gt;&lt;keyword&gt;Research Design&lt;/keyword&gt;&lt;keyword&gt;Psychology, Social&lt;/keyword&gt;&lt;keyword&gt;Surveys&lt;/keyword&gt;&lt;keyword&gt;Telephone Surveys&lt;/keyword&gt;&lt;keyword&gt;Mail Surveys&lt;/keyword&gt;&lt;keyword&gt;Internet Usage&lt;/keyword&gt;&lt;keyword&gt;spørreundersøkelser&lt;/keyword&gt;&lt;keyword&gt;telefon&lt;/keyword&gt;&lt;keyword&gt;epost&lt;/keyword&gt;&lt;keyword&gt;internett&lt;/keyword&gt;&lt;keyword&gt;post&lt;/keyword&gt;&lt;/keywords&gt;&lt;dates&gt;&lt;year&gt;2014&lt;/year&gt;&lt;/dates&gt;&lt;pub-location&gt;Hoboken, N.J&lt;/pub-location&gt;&lt;publisher&gt;Wiley&lt;/publisher&gt;&lt;isbn&gt;9781118456149&lt;/isbn&gt;&lt;urls&gt;&lt;/urls&gt;&lt;/record&gt;&lt;/Cite&gt;&lt;/EndNote&gt;</w:instrText>
      </w:r>
      <w:r w:rsidR="00722E6F">
        <w:rPr>
          <w:lang w:val="en-US"/>
        </w:rPr>
        <w:fldChar w:fldCharType="separate"/>
      </w:r>
      <w:r w:rsidR="00722E6F">
        <w:rPr>
          <w:noProof/>
          <w:lang w:val="en-US"/>
        </w:rPr>
        <w:t>(Dillman, Smyth, &amp; Christian, 2014)</w:t>
      </w:r>
      <w:r w:rsidR="00722E6F">
        <w:rPr>
          <w:lang w:val="en-US"/>
        </w:rPr>
        <w:fldChar w:fldCharType="end"/>
      </w:r>
      <w:r w:rsidR="00722E6F">
        <w:rPr>
          <w:lang w:val="en-US"/>
        </w:rPr>
        <w:t xml:space="preserve">. </w:t>
      </w:r>
    </w:p>
    <w:p w:rsidR="00DB6479" w:rsidRDefault="00DB6479" w:rsidP="00F06AB2">
      <w:pPr>
        <w:rPr>
          <w:lang w:val="en-US"/>
        </w:rPr>
      </w:pPr>
    </w:p>
    <w:p w:rsidR="00FA2CE9" w:rsidRDefault="00567390" w:rsidP="00F06AB2">
      <w:pPr>
        <w:rPr>
          <w:lang w:val="en-US"/>
        </w:rPr>
      </w:pPr>
      <w:r>
        <w:rPr>
          <w:lang w:val="en-US"/>
        </w:rPr>
        <w:t>Likelihood of contact</w:t>
      </w:r>
      <w:r w:rsidR="00F06AB2">
        <w:rPr>
          <w:lang w:val="en-US"/>
        </w:rPr>
        <w:t xml:space="preserve"> is also influenced by other factors such as physical impediments, social environmental- </w:t>
      </w:r>
      <w:r w:rsidR="00DB6479">
        <w:rPr>
          <w:lang w:val="en-US"/>
        </w:rPr>
        <w:t xml:space="preserve">attributes, </w:t>
      </w:r>
      <w:r w:rsidR="00F06AB2">
        <w:rPr>
          <w:lang w:val="en-US"/>
        </w:rPr>
        <w:t>socio-</w:t>
      </w:r>
      <w:r w:rsidR="007F1FBA">
        <w:rPr>
          <w:lang w:val="en-US"/>
        </w:rPr>
        <w:t>demographic (</w:t>
      </w:r>
      <w:r w:rsidR="002D20F2">
        <w:rPr>
          <w:lang w:val="en-US"/>
        </w:rPr>
        <w:t>lifestyle)</w:t>
      </w:r>
      <w:r w:rsidR="00F06AB2">
        <w:rPr>
          <w:lang w:val="en-US"/>
        </w:rPr>
        <w:t xml:space="preserve"> attributes, </w:t>
      </w:r>
      <w:r w:rsidR="00DB6479">
        <w:rPr>
          <w:lang w:val="en-US"/>
        </w:rPr>
        <w:t xml:space="preserve">and characteristics of the interviewer. These factors are of importance, </w:t>
      </w:r>
      <w:r w:rsidR="0032704F">
        <w:rPr>
          <w:lang w:val="en-US"/>
        </w:rPr>
        <w:t>but i</w:t>
      </w:r>
      <w:r w:rsidR="00F06AB2">
        <w:rPr>
          <w:lang w:val="en-US"/>
        </w:rPr>
        <w:t>ncreased mobility</w:t>
      </w:r>
      <w:r w:rsidR="00DB6479">
        <w:rPr>
          <w:lang w:val="en-US"/>
        </w:rPr>
        <w:t xml:space="preserve"> means we no longer must reach participants at home, so mapping their </w:t>
      </w:r>
      <w:r w:rsidR="00D53D2C">
        <w:rPr>
          <w:lang w:val="en-US"/>
        </w:rPr>
        <w:t>at-home-pattern</w:t>
      </w:r>
      <w:r w:rsidR="0032704F">
        <w:rPr>
          <w:lang w:val="en-US"/>
        </w:rPr>
        <w:t>s</w:t>
      </w:r>
      <w:r w:rsidR="00D53D2C">
        <w:rPr>
          <w:lang w:val="en-US"/>
        </w:rPr>
        <w:t xml:space="preserve"> are of less importance. </w:t>
      </w:r>
      <w:r w:rsidR="0032704F">
        <w:rPr>
          <w:lang w:val="en-US"/>
        </w:rPr>
        <w:t>Still</w:t>
      </w:r>
      <w:r w:rsidR="00DB6479">
        <w:rPr>
          <w:lang w:val="en-US"/>
        </w:rPr>
        <w:t xml:space="preserve">, </w:t>
      </w:r>
      <w:r w:rsidR="00ED342D">
        <w:rPr>
          <w:lang w:val="en-US"/>
        </w:rPr>
        <w:t xml:space="preserve">in a world where </w:t>
      </w:r>
      <w:r w:rsidR="00DB6479">
        <w:rPr>
          <w:lang w:val="en-US"/>
        </w:rPr>
        <w:t xml:space="preserve">time is </w:t>
      </w:r>
      <w:r w:rsidR="00ED342D">
        <w:rPr>
          <w:lang w:val="en-US"/>
        </w:rPr>
        <w:t>a scarce resource and people are constantly on the run,</w:t>
      </w:r>
      <w:r w:rsidR="00DB6479">
        <w:rPr>
          <w:lang w:val="en-US"/>
        </w:rPr>
        <w:t xml:space="preserve"> </w:t>
      </w:r>
      <w:r w:rsidR="00D53D2C">
        <w:rPr>
          <w:lang w:val="en-US"/>
        </w:rPr>
        <w:t xml:space="preserve">it would be important to make </w:t>
      </w:r>
      <w:r w:rsidR="00D53D2C">
        <w:rPr>
          <w:lang w:val="en-US"/>
        </w:rPr>
        <w:lastRenderedPageBreak/>
        <w:t xml:space="preserve">sure we </w:t>
      </w:r>
      <w:r w:rsidR="00ED342D">
        <w:rPr>
          <w:lang w:val="en-US"/>
        </w:rPr>
        <w:t xml:space="preserve">reach people when they are most likely to be available for interview. </w:t>
      </w:r>
      <w:r w:rsidR="0032704F">
        <w:rPr>
          <w:lang w:val="en-US"/>
        </w:rPr>
        <w:t xml:space="preserve">It is therefore still important to predict respondents’ behavior patterns. </w:t>
      </w:r>
      <w:r w:rsidR="00D53D2C">
        <w:rPr>
          <w:lang w:val="en-US"/>
        </w:rPr>
        <w:t xml:space="preserve">Characteristics of the interviewer are important regardless of which contact strategy is used, in order to obtain an interview. </w:t>
      </w:r>
    </w:p>
    <w:p w:rsidR="00FA2CE9" w:rsidRDefault="00FA2CE9" w:rsidP="00F06AB2">
      <w:pPr>
        <w:rPr>
          <w:lang w:val="en-US"/>
        </w:rPr>
      </w:pPr>
    </w:p>
    <w:p w:rsidR="00580EED" w:rsidRDefault="00580EED" w:rsidP="00580EED">
      <w:pPr>
        <w:rPr>
          <w:rStyle w:val="Overskrift2Tegn"/>
          <w:lang w:val="en-GB"/>
        </w:rPr>
      </w:pPr>
    </w:p>
    <w:p w:rsidR="00FA2CE9" w:rsidRDefault="00580EED" w:rsidP="00FA2CE9">
      <w:pPr>
        <w:rPr>
          <w:rStyle w:val="Overskrift2Tegn"/>
          <w:lang w:val="en-GB"/>
        </w:rPr>
      </w:pPr>
      <w:r>
        <w:rPr>
          <w:rStyle w:val="Overskrift2Tegn"/>
          <w:lang w:val="en-GB"/>
        </w:rPr>
        <w:t>Method</w:t>
      </w:r>
    </w:p>
    <w:p w:rsidR="00FA2CE9" w:rsidRDefault="00FA2CE9" w:rsidP="00FA2CE9">
      <w:pPr>
        <w:rPr>
          <w:lang w:val="en-GB"/>
        </w:rPr>
      </w:pPr>
      <w:r>
        <w:rPr>
          <w:lang w:val="en-GB"/>
        </w:rPr>
        <w:t>In the search for a model that</w:t>
      </w:r>
      <w:r w:rsidR="0037186C">
        <w:rPr>
          <w:lang w:val="en-GB"/>
        </w:rPr>
        <w:t xml:space="preserve"> reduces the non-response</w:t>
      </w:r>
      <w:r w:rsidR="0037186C">
        <w:rPr>
          <w:lang w:val="en-US"/>
        </w:rPr>
        <w:t>, w</w:t>
      </w:r>
      <w:r>
        <w:rPr>
          <w:lang w:val="en-US"/>
        </w:rPr>
        <w:t xml:space="preserve">e hypothesize that </w:t>
      </w:r>
      <w:r w:rsidR="00DF749C">
        <w:rPr>
          <w:lang w:val="en-US"/>
        </w:rPr>
        <w:t xml:space="preserve">a communication strategy based on </w:t>
      </w:r>
      <w:r w:rsidR="00DF749C">
        <w:rPr>
          <w:lang w:val="en-GB"/>
        </w:rPr>
        <w:t xml:space="preserve">high </w:t>
      </w:r>
      <w:r w:rsidR="00722E6F">
        <w:rPr>
          <w:lang w:val="en-US"/>
        </w:rPr>
        <w:t xml:space="preserve">initial contact </w:t>
      </w:r>
      <w:r w:rsidR="00722E6F">
        <w:rPr>
          <w:lang w:val="en-GB"/>
        </w:rPr>
        <w:t>frequency</w:t>
      </w:r>
      <w:r w:rsidR="00B03F6B">
        <w:rPr>
          <w:lang w:val="en-US"/>
        </w:rPr>
        <w:t xml:space="preserve"> </w:t>
      </w:r>
      <w:r w:rsidR="00722E6F">
        <w:rPr>
          <w:lang w:val="en-GB"/>
        </w:rPr>
        <w:t xml:space="preserve">yields </w:t>
      </w:r>
      <w:r w:rsidR="0037186C">
        <w:rPr>
          <w:lang w:val="en-GB"/>
        </w:rPr>
        <w:t xml:space="preserve">a higher </w:t>
      </w:r>
      <w:r>
        <w:rPr>
          <w:lang w:val="en-GB"/>
        </w:rPr>
        <w:t xml:space="preserve">response rate in surveys. </w:t>
      </w:r>
    </w:p>
    <w:p w:rsidR="00DF749C" w:rsidRDefault="00DF749C" w:rsidP="00FA2CE9">
      <w:pPr>
        <w:rPr>
          <w:lang w:val="en-GB"/>
        </w:rPr>
      </w:pPr>
    </w:p>
    <w:p w:rsidR="00DF749C" w:rsidRDefault="00DF749C" w:rsidP="00DF749C">
      <w:pPr>
        <w:rPr>
          <w:lang w:val="en-US"/>
        </w:rPr>
      </w:pPr>
      <w:r>
        <w:rPr>
          <w:lang w:val="en-US"/>
        </w:rPr>
        <w:t xml:space="preserve">To test this hypothesis we have studied communication strategies and response rates in four different surveys that are either web based (CAWI) or telephone based (CATI).  The first survey (LMU) is a web based survey where we did an experiment on different types of communications strategies that varied in </w:t>
      </w:r>
      <w:r w:rsidR="00722E6F">
        <w:rPr>
          <w:lang w:val="en-US"/>
        </w:rPr>
        <w:t xml:space="preserve">frequency </w:t>
      </w:r>
      <w:r>
        <w:rPr>
          <w:lang w:val="en-US"/>
        </w:rPr>
        <w:t xml:space="preserve">and contact-mode, to see the effect on response rate. The second survey (Eurostudent) is a web based survey where we applied </w:t>
      </w:r>
      <w:r w:rsidR="00722E6F">
        <w:rPr>
          <w:lang w:val="en-US"/>
        </w:rPr>
        <w:t xml:space="preserve">a high-frequency model based on the experience with </w:t>
      </w:r>
      <w:proofErr w:type="gramStart"/>
      <w:r w:rsidR="00722E6F">
        <w:rPr>
          <w:lang w:val="en-US"/>
        </w:rPr>
        <w:t xml:space="preserve">LMU </w:t>
      </w:r>
      <w:r>
        <w:rPr>
          <w:lang w:val="en-US"/>
        </w:rPr>
        <w:t>.</w:t>
      </w:r>
      <w:proofErr w:type="gramEnd"/>
      <w:r>
        <w:rPr>
          <w:lang w:val="en-US"/>
        </w:rPr>
        <w:t xml:space="preserve"> The two surveys EHIS and EU-SILC are </w:t>
      </w:r>
      <w:r w:rsidR="00722E6F">
        <w:rPr>
          <w:lang w:val="en-US"/>
        </w:rPr>
        <w:t>CATI-</w:t>
      </w:r>
      <w:r>
        <w:rPr>
          <w:lang w:val="en-US"/>
        </w:rPr>
        <w:t xml:space="preserve">surveys where respondents were divided into groups in order to achieve a high initial </w:t>
      </w:r>
      <w:r w:rsidR="00722E6F">
        <w:rPr>
          <w:lang w:val="en-US"/>
        </w:rPr>
        <w:t xml:space="preserve">frequency </w:t>
      </w:r>
      <w:r>
        <w:rPr>
          <w:lang w:val="en-US"/>
        </w:rPr>
        <w:t xml:space="preserve">in calls. EHIS was originally not meant as an experiment in communication </w:t>
      </w:r>
      <w:r w:rsidR="00722E6F">
        <w:rPr>
          <w:lang w:val="en-US"/>
        </w:rPr>
        <w:t>frequency</w:t>
      </w:r>
      <w:r>
        <w:rPr>
          <w:lang w:val="en-US"/>
        </w:rPr>
        <w:t xml:space="preserve">. However, we made the observation that the groups differed in response rate, and that this may be due to </w:t>
      </w:r>
      <w:r w:rsidR="00722E6F">
        <w:rPr>
          <w:lang w:val="en-US"/>
        </w:rPr>
        <w:t xml:space="preserve">an inadvertence in </w:t>
      </w:r>
      <w:r>
        <w:rPr>
          <w:lang w:val="en-US"/>
        </w:rPr>
        <w:t>communication strategies</w:t>
      </w:r>
      <w:r w:rsidR="00722E6F">
        <w:rPr>
          <w:lang w:val="en-US"/>
        </w:rPr>
        <w:t xml:space="preserve"> for different groups</w:t>
      </w:r>
      <w:r>
        <w:rPr>
          <w:lang w:val="en-US"/>
        </w:rPr>
        <w:t xml:space="preserve">. We therefore implemented the system more systematically in EU-SILC. </w:t>
      </w:r>
    </w:p>
    <w:p w:rsidR="00580EED" w:rsidRDefault="00580EED" w:rsidP="00580EED">
      <w:pPr>
        <w:rPr>
          <w:rStyle w:val="Overskrift2Tegn"/>
          <w:lang w:val="en-GB"/>
        </w:rPr>
      </w:pPr>
    </w:p>
    <w:p w:rsidR="00580EED" w:rsidRDefault="00580EED" w:rsidP="00580EED">
      <w:pPr>
        <w:rPr>
          <w:rStyle w:val="Overskrift2Tegn"/>
          <w:lang w:val="en-GB"/>
        </w:rPr>
      </w:pPr>
      <w:r>
        <w:rPr>
          <w:rStyle w:val="Overskrift2Tegn"/>
          <w:lang w:val="en-GB"/>
        </w:rPr>
        <w:t>Results</w:t>
      </w:r>
    </w:p>
    <w:p w:rsidR="008F51B0" w:rsidRDefault="008F51B0" w:rsidP="00580EED">
      <w:pPr>
        <w:rPr>
          <w:rStyle w:val="Overskrift2Tegn"/>
          <w:lang w:val="en-GB"/>
        </w:rPr>
      </w:pPr>
    </w:p>
    <w:p w:rsidR="008F51B0" w:rsidRDefault="00B400A4" w:rsidP="008F51B0">
      <w:pPr>
        <w:rPr>
          <w:lang w:val="en-GB"/>
        </w:rPr>
      </w:pPr>
      <w:r>
        <w:rPr>
          <w:b/>
          <w:lang w:val="en-GB"/>
        </w:rPr>
        <w:t>CAWI-administered surveys</w:t>
      </w:r>
    </w:p>
    <w:p w:rsidR="008F51B0" w:rsidRDefault="008F51B0" w:rsidP="008F51B0">
      <w:pPr>
        <w:rPr>
          <w:i/>
          <w:lang w:val="en-GB"/>
        </w:rPr>
      </w:pPr>
    </w:p>
    <w:p w:rsidR="008F51B0" w:rsidRDefault="008F51B0" w:rsidP="008F51B0">
      <w:pPr>
        <w:rPr>
          <w:lang w:val="en-GB"/>
        </w:rPr>
      </w:pPr>
      <w:r>
        <w:rPr>
          <w:lang w:val="en-GB"/>
        </w:rPr>
        <w:t>In the yearly rental survey, LMU, 37 000 respondents are asked to report online about their rental dwellings and rent. We wanted to find out if we would get a higher response rate by sending more email and text messages within a shorter time span measured in days.</w:t>
      </w:r>
      <w:r w:rsidR="00722E6F">
        <w:rPr>
          <w:lang w:val="en-GB"/>
        </w:rPr>
        <w:t xml:space="preserve"> This is the complete opposite of advised practice from leading scholars </w:t>
      </w:r>
      <w:r w:rsidR="00722E6F">
        <w:rPr>
          <w:lang w:val="en-GB"/>
        </w:rPr>
        <w:fldChar w:fldCharType="begin"/>
      </w:r>
      <w:r w:rsidR="00722E6F">
        <w:rPr>
          <w:lang w:val="en-GB"/>
        </w:rPr>
        <w:instrText xml:space="preserve"> ADDIN EN.CITE &lt;EndNote&gt;&lt;Cite&gt;&lt;Author&gt;Dillman&lt;/Author&gt;&lt;Year&gt;2014&lt;/Year&gt;&lt;RecNum&gt;2&lt;/RecNum&gt;&lt;Pages&gt;331&lt;/Pages&gt;&lt;DisplayText&gt;(Dillman et al., 2014, p. 331)&lt;/DisplayText&gt;&lt;record&gt;&lt;rec-number&gt;2&lt;/rec-number&gt;&lt;foreign-keys&gt;&lt;key app="EN" db-id="v0a52vr2zew0aeev2ao5ex0s0vawapxdp2ap" timestamp="1470388934"&gt;2&lt;/key&gt;&lt;/foreign-keys&gt;&lt;ref-type name="Book"&gt;6&lt;/ref-type&gt;&lt;contributors&gt;&lt;authors&gt;&lt;author&gt;Dillman, Don A.&lt;/author&gt;&lt;author&gt;Smyth, Jolene D.&lt;/author&gt;&lt;author&gt;Christian, Leah Melani&lt;/author&gt;&lt;/authors&gt;&lt;/contributors&gt;&lt;titles&gt;&lt;title&gt;Internet, phone, mail, and mixed-mode surveys : the tailored design method&lt;/title&gt;&lt;/titles&gt;&lt;edition&gt;4th ed.&lt;/edition&gt;&lt;keywords&gt;&lt;keyword&gt;Research Design&lt;/keyword&gt;&lt;keyword&gt;Psychology, Social&lt;/keyword&gt;&lt;keyword&gt;Surveys&lt;/keyword&gt;&lt;keyword&gt;Telephone Surveys&lt;/keyword&gt;&lt;keyword&gt;Mail Surveys&lt;/keyword&gt;&lt;keyword&gt;Internet Usage&lt;/keyword&gt;&lt;keyword&gt;spørreundersøkelser&lt;/keyword&gt;&lt;keyword&gt;telefon&lt;/keyword&gt;&lt;keyword&gt;epost&lt;/keyword&gt;&lt;keyword&gt;internett&lt;/keyword&gt;&lt;keyword&gt;post&lt;/keyword&gt;&lt;/keywords&gt;&lt;dates&gt;&lt;year&gt;2014&lt;/year&gt;&lt;/dates&gt;&lt;pub-location&gt;Hoboken, N.J&lt;/pub-location&gt;&lt;publisher&gt;Wiley&lt;/publisher&gt;&lt;isbn&gt;9781118456149&lt;/isbn&gt;&lt;urls&gt;&lt;/urls&gt;&lt;/record&gt;&lt;/Cite&gt;&lt;/EndNote&gt;</w:instrText>
      </w:r>
      <w:r w:rsidR="00722E6F">
        <w:rPr>
          <w:lang w:val="en-GB"/>
        </w:rPr>
        <w:fldChar w:fldCharType="separate"/>
      </w:r>
      <w:r w:rsidR="00722E6F">
        <w:rPr>
          <w:noProof/>
          <w:lang w:val="en-GB"/>
        </w:rPr>
        <w:t>(Dillman et al., 2014, p. 331)</w:t>
      </w:r>
      <w:r w:rsidR="00722E6F">
        <w:rPr>
          <w:lang w:val="en-GB"/>
        </w:rPr>
        <w:fldChar w:fldCharType="end"/>
      </w:r>
      <w:r w:rsidR="00722E6F">
        <w:rPr>
          <w:lang w:val="en-GB"/>
        </w:rPr>
        <w:t>.</w:t>
      </w:r>
      <w:r>
        <w:rPr>
          <w:lang w:val="en-GB"/>
        </w:rPr>
        <w:t xml:space="preserve"> A total of 10 different groups were created, all with different contact strategies, all with a bit less than 2 500 respondents. We also had a comparison group, not presented here, of more than 12 000 respondents receiving letters.</w:t>
      </w:r>
    </w:p>
    <w:p w:rsidR="008F51B0" w:rsidRDefault="008F51B0" w:rsidP="008F51B0">
      <w:pPr>
        <w:rPr>
          <w:lang w:val="en-GB"/>
        </w:rPr>
      </w:pPr>
    </w:p>
    <w:p w:rsidR="008F51B0" w:rsidRDefault="008F51B0" w:rsidP="008F51B0">
      <w:pPr>
        <w:rPr>
          <w:lang w:val="en-GB"/>
        </w:rPr>
      </w:pPr>
      <w:r>
        <w:rPr>
          <w:lang w:val="en-GB"/>
        </w:rPr>
        <w:t>For the experiment we decided to use the same message within each modus in the same sequence in all groups. First message 1, then 2 and so on, for text messages and for emails. We decided to send messages at 10.00 in the morning, with only one exception, one group received also messages at 14.00 the first three days.</w:t>
      </w:r>
    </w:p>
    <w:p w:rsidR="00364710" w:rsidRDefault="00364710" w:rsidP="008F51B0">
      <w:pPr>
        <w:rPr>
          <w:lang w:val="en-GB"/>
        </w:rPr>
      </w:pPr>
    </w:p>
    <w:p w:rsidR="00364710" w:rsidRDefault="00364710" w:rsidP="008F51B0">
      <w:pPr>
        <w:rPr>
          <w:lang w:val="en-GB"/>
        </w:rPr>
      </w:pPr>
      <w:r>
        <w:rPr>
          <w:lang w:val="en-GB"/>
        </w:rPr>
        <w:t>To communicate the strategies within the statistical organization the word intensity was used. Intensity refers to frequent contact with a response group within a limited time using one or more communication channels. Intensity indicates strength in the communication with the respondent. Increased intensity is to give faster and larger response rate.</w:t>
      </w:r>
    </w:p>
    <w:p w:rsidR="008F51B0" w:rsidRDefault="008F51B0" w:rsidP="008F51B0">
      <w:pPr>
        <w:rPr>
          <w:lang w:val="en-GB"/>
        </w:rPr>
      </w:pPr>
    </w:p>
    <w:p w:rsidR="008F51B0" w:rsidRDefault="007E3232" w:rsidP="008F51B0">
      <w:pPr>
        <w:rPr>
          <w:lang w:val="en-GB"/>
        </w:rPr>
      </w:pPr>
      <w:r>
        <w:rPr>
          <w:lang w:val="en-GB"/>
        </w:rPr>
        <w:t xml:space="preserve">Table 1 in the appendix shows the results. </w:t>
      </w:r>
      <w:r w:rsidR="008F51B0">
        <w:rPr>
          <w:lang w:val="en-GB"/>
        </w:rPr>
        <w:t xml:space="preserve">The groups marked </w:t>
      </w:r>
      <w:proofErr w:type="spellStart"/>
      <w:proofErr w:type="gramStart"/>
      <w:r w:rsidR="008F51B0">
        <w:rPr>
          <w:lang w:val="en-GB"/>
        </w:rPr>
        <w:t>Ses</w:t>
      </w:r>
      <w:proofErr w:type="spellEnd"/>
      <w:proofErr w:type="gramEnd"/>
      <w:r w:rsidR="008F51B0">
        <w:rPr>
          <w:lang w:val="en-GB"/>
        </w:rPr>
        <w:t xml:space="preserve"> received text messages (</w:t>
      </w:r>
      <w:proofErr w:type="spellStart"/>
      <w:r w:rsidR="008F51B0">
        <w:rPr>
          <w:lang w:val="en-GB"/>
        </w:rPr>
        <w:t>sms</w:t>
      </w:r>
      <w:proofErr w:type="spellEnd"/>
      <w:r w:rsidR="008F51B0">
        <w:rPr>
          <w:lang w:val="en-GB"/>
        </w:rPr>
        <w:t>) and emails several times the first week. Groups marked See received a text message and then only emails the first week.</w:t>
      </w:r>
      <w:r w:rsidR="000541F4">
        <w:rPr>
          <w:lang w:val="en-GB"/>
        </w:rPr>
        <w:t xml:space="preserve"> </w:t>
      </w:r>
      <w:r w:rsidR="008F51B0">
        <w:rPr>
          <w:lang w:val="en-GB"/>
        </w:rPr>
        <w:t>Looking at the results</w:t>
      </w:r>
      <w:r w:rsidR="00F74FD9">
        <w:rPr>
          <w:lang w:val="en-GB"/>
        </w:rPr>
        <w:t>,</w:t>
      </w:r>
      <w:r w:rsidR="008F51B0">
        <w:rPr>
          <w:lang w:val="en-GB"/>
        </w:rPr>
        <w:t xml:space="preserve"> </w:t>
      </w:r>
      <w:r w:rsidR="004753DE">
        <w:rPr>
          <w:lang w:val="en-GB"/>
        </w:rPr>
        <w:t>it is evident that</w:t>
      </w:r>
      <w:r w:rsidR="00F74FD9">
        <w:rPr>
          <w:lang w:val="en-GB"/>
        </w:rPr>
        <w:t xml:space="preserve"> </w:t>
      </w:r>
      <w:r w:rsidR="00722E6F">
        <w:rPr>
          <w:lang w:val="en-GB"/>
        </w:rPr>
        <w:t xml:space="preserve">the groups </w:t>
      </w:r>
      <w:r w:rsidR="004753DE">
        <w:rPr>
          <w:lang w:val="en-GB"/>
        </w:rPr>
        <w:t>which received a high number of contacts the first week gained a higher response rate in the end. In the groups where the contact was evenly spread throughout the data collection period, the response rate was lower.</w:t>
      </w:r>
      <w:r w:rsidR="008F51B0">
        <w:rPr>
          <w:lang w:val="en-GB"/>
        </w:rPr>
        <w:t xml:space="preserve"> </w:t>
      </w:r>
      <w:r w:rsidR="004753DE">
        <w:rPr>
          <w:lang w:val="en-GB"/>
        </w:rPr>
        <w:t>W</w:t>
      </w:r>
      <w:r w:rsidR="008F51B0">
        <w:rPr>
          <w:lang w:val="en-GB"/>
        </w:rPr>
        <w:t xml:space="preserve">e argue this is about the </w:t>
      </w:r>
      <w:r w:rsidR="003B0F97">
        <w:rPr>
          <w:lang w:val="en-GB"/>
        </w:rPr>
        <w:t xml:space="preserve">frequency of contacts </w:t>
      </w:r>
      <w:r w:rsidR="008F51B0">
        <w:rPr>
          <w:lang w:val="en-GB"/>
        </w:rPr>
        <w:t>that two modes provide.</w:t>
      </w:r>
    </w:p>
    <w:p w:rsidR="007E3232" w:rsidRDefault="007E3232" w:rsidP="008F51B0">
      <w:pPr>
        <w:rPr>
          <w:lang w:val="en-GB"/>
        </w:rPr>
      </w:pPr>
    </w:p>
    <w:p w:rsidR="007E3232" w:rsidRDefault="003B0F97" w:rsidP="007E3232">
      <w:pPr>
        <w:rPr>
          <w:lang w:val="en-GB"/>
        </w:rPr>
      </w:pPr>
      <w:r>
        <w:rPr>
          <w:lang w:val="en-GB"/>
        </w:rPr>
        <w:t xml:space="preserve">Group </w:t>
      </w:r>
      <w:proofErr w:type="spellStart"/>
      <w:r>
        <w:rPr>
          <w:lang w:val="en-GB"/>
        </w:rPr>
        <w:t>SesD</w:t>
      </w:r>
      <w:proofErr w:type="spellEnd"/>
      <w:r>
        <w:rPr>
          <w:lang w:val="en-GB"/>
        </w:rPr>
        <w:t xml:space="preserve"> received the most reminders in the first three days. The respondents in </w:t>
      </w:r>
      <w:proofErr w:type="spellStart"/>
      <w:r>
        <w:rPr>
          <w:lang w:val="en-GB"/>
        </w:rPr>
        <w:t>SesD</w:t>
      </w:r>
      <w:proofErr w:type="spellEnd"/>
      <w:r w:rsidR="007E3232">
        <w:rPr>
          <w:lang w:val="en-GB"/>
        </w:rPr>
        <w:t xml:space="preserve"> received text and email in the morning and then again after noon the first three days. After three days the response in group </w:t>
      </w:r>
      <w:proofErr w:type="spellStart"/>
      <w:r w:rsidR="007E3232">
        <w:rPr>
          <w:lang w:val="en-GB"/>
        </w:rPr>
        <w:t>SesD</w:t>
      </w:r>
      <w:proofErr w:type="spellEnd"/>
      <w:r w:rsidR="007E3232">
        <w:rPr>
          <w:lang w:val="en-GB"/>
        </w:rPr>
        <w:t xml:space="preserve"> rate was already 38.1 per cent. This can be compared to the end results of </w:t>
      </w:r>
      <w:r w:rsidR="007E3232">
        <w:rPr>
          <w:lang w:val="en-GB"/>
        </w:rPr>
        <w:lastRenderedPageBreak/>
        <w:t xml:space="preserve">other groups; no group is above 38 per cent with 10 messages in four weeks. At the end of the first week at Friday, group </w:t>
      </w:r>
      <w:proofErr w:type="spellStart"/>
      <w:r w:rsidR="007E3232">
        <w:rPr>
          <w:lang w:val="en-GB"/>
        </w:rPr>
        <w:t>SesD</w:t>
      </w:r>
      <w:proofErr w:type="spellEnd"/>
      <w:r w:rsidR="007E3232">
        <w:rPr>
          <w:lang w:val="en-GB"/>
        </w:rPr>
        <w:t xml:space="preserve"> had a response rate of 39.5 per cent as answers tick in just slightly.</w:t>
      </w:r>
      <w:r>
        <w:rPr>
          <w:lang w:val="en-GB"/>
        </w:rPr>
        <w:t xml:space="preserve"> This is in line with previous findings, there are diminishing results to reminders </w:t>
      </w:r>
      <w:r>
        <w:rPr>
          <w:lang w:val="en-GB"/>
        </w:rPr>
        <w:fldChar w:fldCharType="begin"/>
      </w:r>
      <w:r>
        <w:rPr>
          <w:lang w:val="en-GB"/>
        </w:rPr>
        <w:instrText xml:space="preserve"> ADDIN EN.CITE &lt;EndNote&gt;&lt;Cite&gt;&lt;Author&gt;Couper&lt;/Author&gt;&lt;Year&gt;2008&lt;/Year&gt;&lt;RecNum&gt;3&lt;/RecNum&gt;&lt;DisplayText&gt;(Couper, 2008)&lt;/DisplayText&gt;&lt;record&gt;&lt;rec-number&gt;3&lt;/rec-number&gt;&lt;foreign-keys&gt;&lt;key app="EN" db-id="v0a52vr2zew0aeev2ao5ex0s0vawapxdp2ap" timestamp="1470389388"&gt;3&lt;/key&gt;&lt;/foreign-keys&gt;&lt;ref-type name="Book"&gt;6&lt;/ref-type&gt;&lt;contributors&gt;&lt;authors&gt;&lt;author&gt;Couper, Mick P.&lt;/author&gt;&lt;/authors&gt;&lt;/contributors&gt;&lt;titles&gt;&lt;title&gt;Designing effective Web surveys&lt;/title&gt;&lt;/titles&gt;&lt;keywords&gt;&lt;keyword&gt;Forskningsmetoder&lt;/keyword&gt;&lt;keyword&gt;undersøkelse&lt;/keyword&gt;&lt;keyword&gt;kartlegging&lt;/keyword&gt;&lt;keyword&gt;metode&lt;/keyword&gt;&lt;keyword&gt;undersøkelsesmetode&lt;/keyword&gt;&lt;keyword&gt;spørreundersøkingar&lt;/keyword&gt;&lt;keyword&gt;undersøking&lt;/keyword&gt;&lt;keyword&gt;internett&lt;/keyword&gt;&lt;keyword&gt;Intervjuindersøkelser&lt;/keyword&gt;&lt;/keywords&gt;&lt;dates&gt;&lt;year&gt;2008&lt;/year&gt;&lt;/dates&gt;&lt;pub-location&gt;Cambridge&lt;/pub-location&gt;&lt;publisher&gt;Cambridge University Press&lt;/publisher&gt;&lt;isbn&gt;9780521717946&lt;/isbn&gt;&lt;urls&gt;&lt;/urls&gt;&lt;/record&gt;&lt;/Cite&gt;&lt;/EndNote&gt;</w:instrText>
      </w:r>
      <w:r>
        <w:rPr>
          <w:lang w:val="en-GB"/>
        </w:rPr>
        <w:fldChar w:fldCharType="separate"/>
      </w:r>
      <w:r>
        <w:rPr>
          <w:noProof/>
          <w:lang w:val="en-GB"/>
        </w:rPr>
        <w:t>(Couper, 2008)</w:t>
      </w:r>
      <w:r>
        <w:rPr>
          <w:lang w:val="en-GB"/>
        </w:rPr>
        <w:fldChar w:fldCharType="end"/>
      </w:r>
      <w:r>
        <w:rPr>
          <w:lang w:val="en-GB"/>
        </w:rPr>
        <w:t>.</w:t>
      </w:r>
      <w:r w:rsidR="007E3232">
        <w:rPr>
          <w:lang w:val="en-GB"/>
        </w:rPr>
        <w:t xml:space="preserve"> Only one group has a higher end result than </w:t>
      </w:r>
      <w:proofErr w:type="spellStart"/>
      <w:r w:rsidR="007E3232">
        <w:rPr>
          <w:lang w:val="en-GB"/>
        </w:rPr>
        <w:t>SesD’s</w:t>
      </w:r>
      <w:proofErr w:type="spellEnd"/>
      <w:r w:rsidR="007E3232">
        <w:rPr>
          <w:lang w:val="en-GB"/>
        </w:rPr>
        <w:t xml:space="preserve"> first week result, </w:t>
      </w:r>
      <w:proofErr w:type="spellStart"/>
      <w:r w:rsidR="007E3232">
        <w:rPr>
          <w:lang w:val="en-GB"/>
        </w:rPr>
        <w:t>SesA</w:t>
      </w:r>
      <w:proofErr w:type="spellEnd"/>
      <w:r w:rsidR="007E3232">
        <w:rPr>
          <w:lang w:val="en-GB"/>
        </w:rPr>
        <w:t xml:space="preserve">. </w:t>
      </w:r>
      <w:proofErr w:type="spellStart"/>
      <w:r w:rsidR="007E3232" w:rsidRPr="00444025">
        <w:rPr>
          <w:b/>
          <w:lang w:val="en-GB"/>
        </w:rPr>
        <w:t>SesA</w:t>
      </w:r>
      <w:proofErr w:type="spellEnd"/>
      <w:r w:rsidR="007E3232" w:rsidRPr="00444025">
        <w:rPr>
          <w:b/>
          <w:lang w:val="en-GB"/>
        </w:rPr>
        <w:t xml:space="preserve"> was the baseline group</w:t>
      </w:r>
      <w:r w:rsidR="007E3232">
        <w:rPr>
          <w:lang w:val="en-GB"/>
        </w:rPr>
        <w:t xml:space="preserve"> and was sent a text message and an email from Monday till Friday the first week.</w:t>
      </w:r>
      <w:r w:rsidR="000541F4">
        <w:rPr>
          <w:lang w:val="en-GB"/>
        </w:rPr>
        <w:t xml:space="preserve"> This particular baseline strategy is repeated in a later project.</w:t>
      </w:r>
    </w:p>
    <w:p w:rsidR="007E3232" w:rsidRDefault="007E3232" w:rsidP="007E3232">
      <w:pPr>
        <w:rPr>
          <w:lang w:val="en-GB"/>
        </w:rPr>
      </w:pPr>
    </w:p>
    <w:p w:rsidR="007E3232" w:rsidRDefault="007E3232" w:rsidP="007E3232">
      <w:pPr>
        <w:rPr>
          <w:lang w:val="en-GB"/>
        </w:rPr>
      </w:pPr>
      <w:r>
        <w:rPr>
          <w:lang w:val="en-GB"/>
        </w:rPr>
        <w:t xml:space="preserve">Looking at the See groups, more messages in the first week does result in a higher response rate in the end. All groups have received 10 messages; </w:t>
      </w:r>
      <w:proofErr w:type="spellStart"/>
      <w:r>
        <w:rPr>
          <w:lang w:val="en-GB"/>
        </w:rPr>
        <w:t>SeeA</w:t>
      </w:r>
      <w:proofErr w:type="spellEnd"/>
      <w:r>
        <w:rPr>
          <w:lang w:val="en-GB"/>
        </w:rPr>
        <w:t xml:space="preserve"> received 6 the first week and ended on 37.7; </w:t>
      </w:r>
      <w:proofErr w:type="spellStart"/>
      <w:r>
        <w:rPr>
          <w:lang w:val="en-GB"/>
        </w:rPr>
        <w:t>SeeD</w:t>
      </w:r>
      <w:proofErr w:type="spellEnd"/>
      <w:r>
        <w:rPr>
          <w:lang w:val="en-GB"/>
        </w:rPr>
        <w:t xml:space="preserve"> received 4 messages the first week and ended on 35.8; </w:t>
      </w:r>
      <w:proofErr w:type="spellStart"/>
      <w:r>
        <w:rPr>
          <w:lang w:val="en-GB"/>
        </w:rPr>
        <w:t>SeeC</w:t>
      </w:r>
      <w:proofErr w:type="spellEnd"/>
      <w:r>
        <w:rPr>
          <w:lang w:val="en-GB"/>
        </w:rPr>
        <w:t xml:space="preserve">, </w:t>
      </w:r>
      <w:proofErr w:type="spellStart"/>
      <w:r>
        <w:rPr>
          <w:lang w:val="en-GB"/>
        </w:rPr>
        <w:t>SeeE</w:t>
      </w:r>
      <w:proofErr w:type="spellEnd"/>
      <w:r>
        <w:rPr>
          <w:lang w:val="en-GB"/>
        </w:rPr>
        <w:t xml:space="preserve"> and </w:t>
      </w:r>
      <w:proofErr w:type="spellStart"/>
      <w:r>
        <w:rPr>
          <w:lang w:val="en-GB"/>
        </w:rPr>
        <w:t>SeeB</w:t>
      </w:r>
      <w:proofErr w:type="spellEnd"/>
      <w:r>
        <w:rPr>
          <w:lang w:val="en-GB"/>
        </w:rPr>
        <w:t xml:space="preserve"> received 3 messages the first week and ended on 33.4, 33.4 and 31.3.</w:t>
      </w:r>
    </w:p>
    <w:p w:rsidR="007E3232" w:rsidRDefault="007E3232" w:rsidP="007E3232">
      <w:pPr>
        <w:rPr>
          <w:lang w:val="en-GB"/>
        </w:rPr>
      </w:pPr>
    </w:p>
    <w:p w:rsidR="002477D1" w:rsidRDefault="00F321B8" w:rsidP="002477D1">
      <w:pPr>
        <w:rPr>
          <w:lang w:val="en-GB"/>
        </w:rPr>
      </w:pPr>
      <w:r>
        <w:rPr>
          <w:lang w:val="en-GB"/>
        </w:rPr>
        <w:t xml:space="preserve">This </w:t>
      </w:r>
      <w:r w:rsidR="007E3232">
        <w:rPr>
          <w:lang w:val="en-GB"/>
        </w:rPr>
        <w:t xml:space="preserve">shows that high </w:t>
      </w:r>
      <w:r w:rsidR="00F35E79">
        <w:rPr>
          <w:lang w:val="en-GB"/>
        </w:rPr>
        <w:t xml:space="preserve">frequency in contacts at </w:t>
      </w:r>
      <w:r w:rsidR="007E3232">
        <w:rPr>
          <w:lang w:val="en-GB"/>
        </w:rPr>
        <w:t>the beginning of data-collection results in a high</w:t>
      </w:r>
      <w:r w:rsidR="00161F7E">
        <w:rPr>
          <w:lang w:val="en-GB"/>
        </w:rPr>
        <w:t>er</w:t>
      </w:r>
      <w:r w:rsidR="007E3232">
        <w:rPr>
          <w:lang w:val="en-GB"/>
        </w:rPr>
        <w:t xml:space="preserve"> response rate after the first week, and that this is r</w:t>
      </w:r>
      <w:r w:rsidR="00B400A4">
        <w:rPr>
          <w:lang w:val="en-GB"/>
        </w:rPr>
        <w:t>egardless of communication mode.</w:t>
      </w:r>
    </w:p>
    <w:p w:rsidR="00B400A4" w:rsidRDefault="00B400A4" w:rsidP="002477D1">
      <w:pPr>
        <w:rPr>
          <w:lang w:val="en-GB"/>
        </w:rPr>
      </w:pPr>
    </w:p>
    <w:p w:rsidR="007E3232" w:rsidRDefault="002477D1" w:rsidP="007E3232">
      <w:pPr>
        <w:rPr>
          <w:lang w:val="en-GB"/>
        </w:rPr>
      </w:pPr>
      <w:r>
        <w:rPr>
          <w:lang w:val="en-GB"/>
        </w:rPr>
        <w:t>From LMU we learned that sending out 10 messages in the first week does increase the response rate compared to spreading it out over time. In Eurostudent 2013 the response rate was about 48 per cent (44 per cent online and 4 per cent on paper). In Eurostudent 2016 we applied the baseline strategy</w:t>
      </w:r>
      <w:bookmarkStart w:id="0" w:name="_GoBack"/>
      <w:bookmarkEnd w:id="0"/>
      <w:r w:rsidR="000541F4">
        <w:rPr>
          <w:lang w:val="en-GB"/>
        </w:rPr>
        <w:t xml:space="preserve"> (one text message and one email from Monday to Friday, like </w:t>
      </w:r>
      <w:proofErr w:type="spellStart"/>
      <w:r w:rsidR="000541F4">
        <w:rPr>
          <w:lang w:val="en-GB"/>
        </w:rPr>
        <w:t>SesA</w:t>
      </w:r>
      <w:proofErr w:type="spellEnd"/>
      <w:r w:rsidR="000541F4">
        <w:rPr>
          <w:lang w:val="en-GB"/>
        </w:rPr>
        <w:t xml:space="preserve"> in LMU)</w:t>
      </w:r>
      <w:r>
        <w:rPr>
          <w:lang w:val="en-GB"/>
        </w:rPr>
        <w:t xml:space="preserve">, with some variations in time due to server issues, and the end result was about 50 per cent in one week, and an end result of 56 per cent response rate. No letters, and no paper forms, all online response. We argue </w:t>
      </w:r>
      <w:r w:rsidR="00F321B8">
        <w:rPr>
          <w:lang w:val="en-GB"/>
        </w:rPr>
        <w:t xml:space="preserve">that </w:t>
      </w:r>
      <w:r>
        <w:rPr>
          <w:lang w:val="en-GB"/>
        </w:rPr>
        <w:t xml:space="preserve">this improved response was due to the </w:t>
      </w:r>
      <w:r w:rsidR="00F321B8">
        <w:rPr>
          <w:lang w:val="en-GB"/>
        </w:rPr>
        <w:t xml:space="preserve">high-frequency reminders </w:t>
      </w:r>
      <w:r>
        <w:rPr>
          <w:lang w:val="en-GB"/>
        </w:rPr>
        <w:t>of the baseline strategy compared to slower alternatives.</w:t>
      </w:r>
      <w:r w:rsidR="004565F8">
        <w:rPr>
          <w:lang w:val="en-GB"/>
        </w:rPr>
        <w:t xml:space="preserve"> </w:t>
      </w:r>
    </w:p>
    <w:p w:rsidR="00BF7D17" w:rsidRDefault="00BF7D17" w:rsidP="00BF7D17">
      <w:pPr>
        <w:pStyle w:val="Overskrift2"/>
        <w:rPr>
          <w:rFonts w:asciiTheme="minorHAnsi" w:hAnsiTheme="minorHAnsi"/>
          <w:color w:val="auto"/>
          <w:sz w:val="22"/>
          <w:szCs w:val="22"/>
          <w:lang w:val="en-US"/>
        </w:rPr>
      </w:pPr>
      <w:r w:rsidRPr="00216F32">
        <w:rPr>
          <w:rFonts w:asciiTheme="minorHAnsi" w:hAnsiTheme="minorHAnsi"/>
          <w:color w:val="auto"/>
          <w:sz w:val="22"/>
          <w:szCs w:val="22"/>
          <w:lang w:val="en-US"/>
        </w:rPr>
        <w:t>CATI-administered surveys</w:t>
      </w:r>
    </w:p>
    <w:p w:rsidR="00BF7D17" w:rsidRPr="00BF7D17" w:rsidRDefault="00BF7D17" w:rsidP="00BF7D17">
      <w:pPr>
        <w:rPr>
          <w:lang w:val="en-US"/>
        </w:rPr>
      </w:pPr>
    </w:p>
    <w:p w:rsidR="00BF7D17" w:rsidRDefault="00BF7D17" w:rsidP="00BF7D17">
      <w:pPr>
        <w:rPr>
          <w:lang w:val="en-US"/>
        </w:rPr>
      </w:pPr>
      <w:r w:rsidRPr="002F64A3">
        <w:rPr>
          <w:lang w:val="en-US"/>
        </w:rPr>
        <w:t xml:space="preserve">Based on experiences from the European Health Interview Survey </w:t>
      </w:r>
      <w:r>
        <w:rPr>
          <w:lang w:val="en-US"/>
        </w:rPr>
        <w:t xml:space="preserve">(EHIS) in 2015, </w:t>
      </w:r>
      <w:r w:rsidRPr="002F64A3">
        <w:rPr>
          <w:lang w:val="en-US"/>
        </w:rPr>
        <w:t xml:space="preserve">it seems that the same </w:t>
      </w:r>
      <w:r>
        <w:rPr>
          <w:lang w:val="en-US"/>
        </w:rPr>
        <w:t xml:space="preserve">mechanisms </w:t>
      </w:r>
      <w:r w:rsidRPr="002F64A3">
        <w:rPr>
          <w:lang w:val="en-US"/>
        </w:rPr>
        <w:t xml:space="preserve">apply to CATI-administered surveys. </w:t>
      </w:r>
      <w:r>
        <w:rPr>
          <w:lang w:val="en-US"/>
        </w:rPr>
        <w:t>The Norwegian version of EHIS is comprised of 14 000 respondents and was conducted over 4 months</w:t>
      </w:r>
      <w:r w:rsidR="00F321B8">
        <w:rPr>
          <w:lang w:val="en-US"/>
        </w:rPr>
        <w:t>. A</w:t>
      </w:r>
      <w:r>
        <w:rPr>
          <w:lang w:val="en-US"/>
        </w:rPr>
        <w:t xml:space="preserve">verage interview length </w:t>
      </w:r>
      <w:r w:rsidR="00F321B8">
        <w:rPr>
          <w:lang w:val="en-US"/>
        </w:rPr>
        <w:t xml:space="preserve">was </w:t>
      </w:r>
      <w:r>
        <w:rPr>
          <w:lang w:val="en-US"/>
        </w:rPr>
        <w:t>36 minutes. In order to administer the data collection more efficiently the sample was divided into 30 groups which were distributed more or less evenly throughout the data collection period. During this period it was discovered that the groups which had higher initial calling frequency the first week gained a high response rate fast, and that the response rate stayed higher throughout the data collection period. In particular</w:t>
      </w:r>
      <w:r w:rsidR="00F321B8">
        <w:rPr>
          <w:lang w:val="en-US"/>
        </w:rPr>
        <w:t>,</w:t>
      </w:r>
      <w:r>
        <w:rPr>
          <w:lang w:val="en-US"/>
        </w:rPr>
        <w:t xml:space="preserve"> group 7 had a </w:t>
      </w:r>
      <w:r w:rsidR="00F321B8">
        <w:rPr>
          <w:lang w:val="en-US"/>
        </w:rPr>
        <w:t xml:space="preserve">higher initial calling frequency compared to the </w:t>
      </w:r>
      <w:r>
        <w:rPr>
          <w:lang w:val="en-US"/>
        </w:rPr>
        <w:t xml:space="preserve">other groups. This resulted in a higher interview response rate the first week compared to the other groups (see figure 1 in appendix). </w:t>
      </w:r>
    </w:p>
    <w:p w:rsidR="00543EFF" w:rsidRDefault="00543EFF" w:rsidP="00BF7D17">
      <w:pPr>
        <w:rPr>
          <w:lang w:val="en-US"/>
        </w:rPr>
      </w:pPr>
    </w:p>
    <w:p w:rsidR="00543EFF" w:rsidRDefault="00543EFF" w:rsidP="00543EFF">
      <w:pPr>
        <w:rPr>
          <w:lang w:val="en-US"/>
        </w:rPr>
      </w:pPr>
      <w:r>
        <w:rPr>
          <w:lang w:val="en-US"/>
        </w:rPr>
        <w:t xml:space="preserve">The calling system (“batch”) was initially set up to treat every respondent equally in terms of calling frequency regardless of group. At the time of collection of </w:t>
      </w:r>
      <w:proofErr w:type="spellStart"/>
      <w:r>
        <w:rPr>
          <w:lang w:val="en-US"/>
        </w:rPr>
        <w:t>paradata</w:t>
      </w:r>
      <w:proofErr w:type="spellEnd"/>
      <w:r>
        <w:rPr>
          <w:lang w:val="en-US"/>
        </w:rPr>
        <w:t xml:space="preserve"> (week 9 in data collection), the respondents in the groups should have received more or less an equal number of dials. The difference between group 7 and the others is therefore initial </w:t>
      </w:r>
      <w:r w:rsidR="00F321B8">
        <w:rPr>
          <w:lang w:val="en-US"/>
        </w:rPr>
        <w:t xml:space="preserve">frequency </w:t>
      </w:r>
      <w:r>
        <w:rPr>
          <w:lang w:val="en-US"/>
        </w:rPr>
        <w:t xml:space="preserve">of calls, not number of overall calls. Group 7 reached an interview response rate of 40 per cent the first week. After two weeks in data collection group 7 reached an interview response rate of 53 per cent. Overall response rate at the end of data collection was 67 per cent for the respondents in Group 7. The total response rate of the survey was 59 per cent. </w:t>
      </w:r>
      <w:r w:rsidR="00B400A4">
        <w:rPr>
          <w:lang w:val="en-US"/>
        </w:rPr>
        <w:t>Table 2 in the appendix shows these results.</w:t>
      </w:r>
    </w:p>
    <w:p w:rsidR="00B400A4" w:rsidRDefault="00B400A4" w:rsidP="00543EFF">
      <w:pPr>
        <w:rPr>
          <w:lang w:val="en-US"/>
        </w:rPr>
      </w:pPr>
    </w:p>
    <w:p w:rsidR="00B400A4" w:rsidRDefault="00B400A4" w:rsidP="00B400A4">
      <w:pPr>
        <w:rPr>
          <w:lang w:val="en-US"/>
        </w:rPr>
      </w:pPr>
      <w:r>
        <w:rPr>
          <w:lang w:val="en-US"/>
        </w:rPr>
        <w:t xml:space="preserve">Keeping initial call-intensity-levels high can be challenging in a survey with a large sample and long interview time. One way to do this is to arrange the dialing batch into groups with priorities according to “freshness” of respondents. This was trialed during the last two months of data collection in EHIS. By dividing the batch into three groups; 1) “Fresh” respondents (stays fresh until dials have been made on 10 different days x number of times) 2) Refusal 3) Others, one can manage interview resources to have a higher dial frequency when respondents are fresh. The trial gave some </w:t>
      </w:r>
      <w:r>
        <w:rPr>
          <w:lang w:val="en-US"/>
        </w:rPr>
        <w:lastRenderedPageBreak/>
        <w:t xml:space="preserve">promising results, albeit it did not end in an interview response rate of 67 per cent for the remaining groups. </w:t>
      </w:r>
    </w:p>
    <w:p w:rsidR="00B400A4" w:rsidRDefault="00B400A4" w:rsidP="00B400A4">
      <w:pPr>
        <w:rPr>
          <w:lang w:val="en-US"/>
        </w:rPr>
      </w:pPr>
    </w:p>
    <w:p w:rsidR="00663534" w:rsidRDefault="00B400A4" w:rsidP="00B400A4">
      <w:pPr>
        <w:rPr>
          <w:lang w:val="en-US"/>
        </w:rPr>
      </w:pPr>
      <w:r>
        <w:rPr>
          <w:lang w:val="en-US"/>
        </w:rPr>
        <w:t>In the somewhat similar EU-SILC-survey this system was implemented full scale. With a sample size of 11 675, the sample was divided into 40 groups. The dialing system was set up similar to that of EHIS. The results were promising. For the first time in this decade the interview response rate was 60 per cent, and although one cannot conclude that this is merely because of the group setup, it seems to have made an impact. Similar to the findings in CAWI-surveys, there seems to be a link between initial calling frequency and interview response rate.</w:t>
      </w:r>
      <w:r w:rsidR="00F321B8">
        <w:rPr>
          <w:lang w:val="en-US"/>
        </w:rPr>
        <w:t xml:space="preserve"> </w:t>
      </w:r>
    </w:p>
    <w:p w:rsidR="00663534" w:rsidRDefault="00663534" w:rsidP="00B400A4">
      <w:pPr>
        <w:rPr>
          <w:lang w:val="en-US"/>
        </w:rPr>
      </w:pPr>
    </w:p>
    <w:p w:rsidR="00B400A4" w:rsidRPr="00655C38" w:rsidRDefault="00F321B8" w:rsidP="00B400A4">
      <w:pPr>
        <w:rPr>
          <w:lang w:val="en-US"/>
        </w:rPr>
      </w:pPr>
      <w:r>
        <w:rPr>
          <w:lang w:val="en-US"/>
        </w:rPr>
        <w:t xml:space="preserve">Furthermore we looked into the </w:t>
      </w:r>
      <w:r w:rsidR="00BA19F8">
        <w:rPr>
          <w:lang w:val="en-US"/>
        </w:rPr>
        <w:t xml:space="preserve">possibility that the new set-up further increases the regular pattern in </w:t>
      </w:r>
      <w:r w:rsidR="00663534">
        <w:rPr>
          <w:lang w:val="en-US"/>
        </w:rPr>
        <w:t>non-response bias</w:t>
      </w:r>
      <w:r w:rsidR="00BA19F8">
        <w:rPr>
          <w:lang w:val="en-US"/>
        </w:rPr>
        <w:t xml:space="preserve">, namely that </w:t>
      </w:r>
      <w:r w:rsidR="00663534">
        <w:rPr>
          <w:lang w:val="en-US"/>
        </w:rPr>
        <w:t xml:space="preserve">we are more likely to obtain interview from </w:t>
      </w:r>
      <w:r w:rsidR="00BA19F8">
        <w:rPr>
          <w:lang w:val="en-US"/>
        </w:rPr>
        <w:t xml:space="preserve">highly educated, urban and middle-aged </w:t>
      </w:r>
      <w:r w:rsidR="00663534">
        <w:rPr>
          <w:lang w:val="en-US"/>
        </w:rPr>
        <w:t>people</w:t>
      </w:r>
      <w:r w:rsidR="00BA19F8">
        <w:rPr>
          <w:lang w:val="en-US"/>
        </w:rPr>
        <w:t xml:space="preserve">. When comparing the socio-demographic traits of respondents and non-respondents in the 2013wave of the survey to the 2016 edition, there </w:t>
      </w:r>
      <w:r w:rsidR="00663534">
        <w:rPr>
          <w:lang w:val="en-US"/>
        </w:rPr>
        <w:t>is no difference in non-response pattern</w:t>
      </w:r>
      <w:r w:rsidR="00BA19F8">
        <w:rPr>
          <w:lang w:val="en-US"/>
        </w:rPr>
        <w:t xml:space="preserve">. It seems that the new </w:t>
      </w:r>
      <w:r w:rsidR="0020740B">
        <w:rPr>
          <w:lang w:val="en-US"/>
        </w:rPr>
        <w:t>batch-system-</w:t>
      </w:r>
      <w:r w:rsidR="00BA19F8">
        <w:rPr>
          <w:lang w:val="en-US"/>
        </w:rPr>
        <w:t>setup does not</w:t>
      </w:r>
      <w:r w:rsidR="0020740B">
        <w:rPr>
          <w:lang w:val="en-US"/>
        </w:rPr>
        <w:t xml:space="preserve"> further increase non-</w:t>
      </w:r>
      <w:r w:rsidR="00663534">
        <w:rPr>
          <w:lang w:val="en-US"/>
        </w:rPr>
        <w:t>response</w:t>
      </w:r>
      <w:r w:rsidR="0020740B">
        <w:rPr>
          <w:lang w:val="en-US"/>
        </w:rPr>
        <w:t xml:space="preserve"> bias</w:t>
      </w:r>
      <w:r w:rsidR="00BA19F8">
        <w:rPr>
          <w:lang w:val="en-US"/>
        </w:rPr>
        <w:t xml:space="preserve">, but </w:t>
      </w:r>
      <w:r w:rsidR="0020740B">
        <w:rPr>
          <w:lang w:val="en-US"/>
        </w:rPr>
        <w:t xml:space="preserve">it </w:t>
      </w:r>
      <w:r w:rsidR="002760CA">
        <w:rPr>
          <w:lang w:val="en-US"/>
        </w:rPr>
        <w:t>doesn’t</w:t>
      </w:r>
      <w:r w:rsidR="0020740B">
        <w:rPr>
          <w:lang w:val="en-US"/>
        </w:rPr>
        <w:t xml:space="preserve"> </w:t>
      </w:r>
      <w:r w:rsidR="002760CA">
        <w:rPr>
          <w:lang w:val="en-US"/>
        </w:rPr>
        <w:t xml:space="preserve">decrease it </w:t>
      </w:r>
      <w:r w:rsidR="0020740B">
        <w:rPr>
          <w:lang w:val="en-US"/>
        </w:rPr>
        <w:t>either</w:t>
      </w:r>
      <w:r w:rsidR="00BA19F8">
        <w:rPr>
          <w:lang w:val="en-US"/>
        </w:rPr>
        <w:t xml:space="preserve">. </w:t>
      </w:r>
    </w:p>
    <w:p w:rsidR="00580EED" w:rsidRDefault="00580EED" w:rsidP="00580EED">
      <w:pPr>
        <w:rPr>
          <w:rStyle w:val="Overskrift2Tegn"/>
          <w:lang w:val="en-GB"/>
        </w:rPr>
      </w:pPr>
    </w:p>
    <w:p w:rsidR="00580EED" w:rsidRDefault="00580EED" w:rsidP="00580EED">
      <w:pPr>
        <w:rPr>
          <w:rStyle w:val="Overskrift2Tegn"/>
          <w:lang w:val="en-GB"/>
        </w:rPr>
      </w:pPr>
      <w:r>
        <w:rPr>
          <w:rStyle w:val="Overskrift2Tegn"/>
          <w:lang w:val="en-GB"/>
        </w:rPr>
        <w:t>Discussion</w:t>
      </w:r>
    </w:p>
    <w:p w:rsidR="00C24F97" w:rsidRDefault="00C24F97" w:rsidP="00580EED">
      <w:pPr>
        <w:rPr>
          <w:rStyle w:val="Overskrift2Tegn"/>
          <w:lang w:val="en-US"/>
        </w:rPr>
      </w:pPr>
    </w:p>
    <w:p w:rsidR="00C24F97" w:rsidRDefault="00C24F97" w:rsidP="00C24F97">
      <w:pPr>
        <w:rPr>
          <w:lang w:val="en-US"/>
        </w:rPr>
      </w:pPr>
      <w:r>
        <w:rPr>
          <w:lang w:val="en-US"/>
        </w:rPr>
        <w:t>The choice of communication strategy can have a significant impact on the final response rate. Developing an effective communication strategy</w:t>
      </w:r>
      <w:r w:rsidRPr="00FE41DB">
        <w:rPr>
          <w:lang w:val="en-US"/>
        </w:rPr>
        <w:t xml:space="preserve"> </w:t>
      </w:r>
      <w:r>
        <w:rPr>
          <w:lang w:val="en-US"/>
        </w:rPr>
        <w:t xml:space="preserve">is therefore an important factor in creating a model that will decrease the non-response rate. </w:t>
      </w:r>
      <w:r w:rsidR="001327F2">
        <w:rPr>
          <w:lang w:val="en-US"/>
        </w:rPr>
        <w:t xml:space="preserve">In this paper we have argued that a communication strategy based on high </w:t>
      </w:r>
      <w:r w:rsidR="0020740B">
        <w:rPr>
          <w:lang w:val="en-US"/>
        </w:rPr>
        <w:t>initial frequency</w:t>
      </w:r>
      <w:r w:rsidR="001327F2">
        <w:rPr>
          <w:lang w:val="en-US"/>
        </w:rPr>
        <w:t>, defined as a high number of messages in the beginning of the data collection period, is an effective mean to reduce non-response.</w:t>
      </w:r>
    </w:p>
    <w:p w:rsidR="00A727B3" w:rsidRDefault="00A727B3" w:rsidP="00C24F97">
      <w:pPr>
        <w:rPr>
          <w:lang w:val="en-US"/>
        </w:rPr>
      </w:pPr>
    </w:p>
    <w:p w:rsidR="00A727B3" w:rsidRDefault="00A727B3" w:rsidP="00C24F97">
      <w:pPr>
        <w:rPr>
          <w:lang w:val="en-US"/>
        </w:rPr>
      </w:pPr>
      <w:r>
        <w:rPr>
          <w:lang w:val="en-US"/>
        </w:rPr>
        <w:t>There are several positive outcomes of using this strategy. It is easier to get in contact with participants</w:t>
      </w:r>
      <w:r w:rsidRPr="00C30F92">
        <w:rPr>
          <w:lang w:val="en-US"/>
        </w:rPr>
        <w:t xml:space="preserve"> </w:t>
      </w:r>
      <w:r>
        <w:rPr>
          <w:lang w:val="en-US"/>
        </w:rPr>
        <w:t>and the risk of non-response decreases. With new technology participants are available to receive electronic massages at all times. The time-frame for contacting participants is clearly defined and limited to a short period</w:t>
      </w:r>
      <w:r w:rsidR="0020740B">
        <w:rPr>
          <w:lang w:val="en-US"/>
        </w:rPr>
        <w:t xml:space="preserve"> which is (often) positive for data quality</w:t>
      </w:r>
      <w:r>
        <w:rPr>
          <w:lang w:val="en-US"/>
        </w:rPr>
        <w:t xml:space="preserve">. Earlier the contact-period was stretched out in time. Now it is much more concentrated. This is also beneficial in terms of saving resources and administering the various ongoing </w:t>
      </w:r>
      <w:r w:rsidR="007A27A4">
        <w:rPr>
          <w:lang w:val="en-US"/>
        </w:rPr>
        <w:t>survey</w:t>
      </w:r>
      <w:r>
        <w:rPr>
          <w:lang w:val="en-US"/>
        </w:rPr>
        <w:t xml:space="preserve"> projects. Available resources can easier be administered and allocated better.</w:t>
      </w:r>
    </w:p>
    <w:p w:rsidR="00A727B3" w:rsidRDefault="00A727B3" w:rsidP="00C24F97">
      <w:pPr>
        <w:rPr>
          <w:lang w:val="en-US"/>
        </w:rPr>
      </w:pPr>
    </w:p>
    <w:p w:rsidR="00A727B3" w:rsidRDefault="00A727B3" w:rsidP="00A727B3">
      <w:pPr>
        <w:rPr>
          <w:lang w:val="en-US"/>
        </w:rPr>
      </w:pPr>
      <w:r w:rsidRPr="004E22D8">
        <w:rPr>
          <w:lang w:val="en-US"/>
        </w:rPr>
        <w:t xml:space="preserve">The next step </w:t>
      </w:r>
      <w:r>
        <w:rPr>
          <w:lang w:val="en-US"/>
        </w:rPr>
        <w:t>in survey administration</w:t>
      </w:r>
      <w:r w:rsidRPr="004E22D8">
        <w:rPr>
          <w:lang w:val="en-US"/>
        </w:rPr>
        <w:t xml:space="preserve"> </w:t>
      </w:r>
      <w:r>
        <w:rPr>
          <w:lang w:val="en-US"/>
        </w:rPr>
        <w:t xml:space="preserve">could </w:t>
      </w:r>
      <w:r w:rsidRPr="004E22D8">
        <w:rPr>
          <w:lang w:val="en-US"/>
        </w:rPr>
        <w:t xml:space="preserve">be to implement further standardization </w:t>
      </w:r>
      <w:r>
        <w:rPr>
          <w:lang w:val="en-US"/>
        </w:rPr>
        <w:t>in contact strategies. This includes standard time between f</w:t>
      </w:r>
      <w:r w:rsidR="001C582E">
        <w:rPr>
          <w:lang w:val="en-US"/>
        </w:rPr>
        <w:t>irst initial contact via mail, text-messages</w:t>
      </w:r>
      <w:r>
        <w:rPr>
          <w:lang w:val="en-US"/>
        </w:rPr>
        <w:t>, e-mail and calls</w:t>
      </w:r>
      <w:r w:rsidR="0020740B">
        <w:rPr>
          <w:lang w:val="en-US"/>
        </w:rPr>
        <w:t>, a full multi-mode reminder set-up</w:t>
      </w:r>
      <w:r>
        <w:rPr>
          <w:lang w:val="en-US"/>
        </w:rPr>
        <w:t xml:space="preserve">. This might yield even higher response rates, secures even amount of work for interviewers, and eases pressure on the organization as tasks are routine and relatively small compared to doing follow-ups in spurts where you would have bottlenecks of technical and administrative tasks for each follow-up chosen. Furthermore, small routine task may with time be automated, given that proper administrative systems are in place. </w:t>
      </w:r>
    </w:p>
    <w:p w:rsidR="00A727B3" w:rsidRDefault="00A727B3" w:rsidP="00A727B3">
      <w:pPr>
        <w:rPr>
          <w:lang w:val="en-US"/>
        </w:rPr>
      </w:pPr>
    </w:p>
    <w:p w:rsidR="00A727B3" w:rsidRDefault="00A727B3" w:rsidP="00A727B3">
      <w:pPr>
        <w:rPr>
          <w:lang w:val="en-US"/>
        </w:rPr>
      </w:pPr>
      <w:r>
        <w:rPr>
          <w:lang w:val="en-US"/>
        </w:rPr>
        <w:t xml:space="preserve">In the future, with further technological development, it could also be possible to incorporate machine learning into the communication process. Computers </w:t>
      </w:r>
      <w:r w:rsidR="00564EDD">
        <w:rPr>
          <w:lang w:val="en-US"/>
        </w:rPr>
        <w:t xml:space="preserve">could </w:t>
      </w:r>
      <w:r>
        <w:rPr>
          <w:lang w:val="en-US"/>
        </w:rPr>
        <w:t xml:space="preserve">register all information about contact with the respondent, and use this information to calculate </w:t>
      </w:r>
      <w:r w:rsidR="00564EDD">
        <w:rPr>
          <w:lang w:val="en-US"/>
        </w:rPr>
        <w:t>an</w:t>
      </w:r>
      <w:r w:rsidR="0020740B">
        <w:rPr>
          <w:lang w:val="en-US"/>
        </w:rPr>
        <w:t>d</w:t>
      </w:r>
      <w:r w:rsidR="00564EDD">
        <w:rPr>
          <w:lang w:val="en-US"/>
        </w:rPr>
        <w:t xml:space="preserve"> predict </w:t>
      </w:r>
      <w:r>
        <w:rPr>
          <w:lang w:val="en-US"/>
        </w:rPr>
        <w:t>when respondents are most accessible and how many contact attempts should be made within a certain time-frame. Such automatizing of</w:t>
      </w:r>
      <w:r w:rsidRPr="004C3C83">
        <w:rPr>
          <w:lang w:val="en-US"/>
        </w:rPr>
        <w:t xml:space="preserve"> </w:t>
      </w:r>
      <w:r>
        <w:rPr>
          <w:lang w:val="en-US"/>
        </w:rPr>
        <w:t xml:space="preserve">frequency and timing would maximize the likelihood of contact and interviews.    </w:t>
      </w:r>
    </w:p>
    <w:p w:rsidR="001327F2" w:rsidRDefault="001327F2" w:rsidP="00C24F97">
      <w:pPr>
        <w:rPr>
          <w:lang w:val="en-US"/>
        </w:rPr>
      </w:pPr>
    </w:p>
    <w:p w:rsidR="001327F2" w:rsidRPr="00F201EC" w:rsidRDefault="001327F2" w:rsidP="00C24F97">
      <w:pPr>
        <w:rPr>
          <w:lang w:val="en-US"/>
        </w:rPr>
      </w:pPr>
      <w:r>
        <w:rPr>
          <w:lang w:val="en-US"/>
        </w:rPr>
        <w:t xml:space="preserve">This </w:t>
      </w:r>
      <w:r w:rsidR="002501F3">
        <w:rPr>
          <w:lang w:val="en-US"/>
        </w:rPr>
        <w:t xml:space="preserve">high </w:t>
      </w:r>
      <w:r w:rsidR="0020740B">
        <w:rPr>
          <w:lang w:val="en-US"/>
        </w:rPr>
        <w:t>frequency</w:t>
      </w:r>
      <w:r w:rsidR="002501F3">
        <w:rPr>
          <w:lang w:val="en-US"/>
        </w:rPr>
        <w:t>-</w:t>
      </w:r>
      <w:r>
        <w:rPr>
          <w:lang w:val="en-US"/>
        </w:rPr>
        <w:t xml:space="preserve">strategy </w:t>
      </w:r>
      <w:r w:rsidR="0020740B">
        <w:rPr>
          <w:lang w:val="en-US"/>
        </w:rPr>
        <w:t>might also cause problems</w:t>
      </w:r>
      <w:r>
        <w:rPr>
          <w:lang w:val="en-US"/>
        </w:rPr>
        <w:t xml:space="preserve">. </w:t>
      </w:r>
      <w:r w:rsidR="00B01FF3">
        <w:rPr>
          <w:lang w:val="en-US"/>
        </w:rPr>
        <w:t xml:space="preserve">By using a contact strategy based on high </w:t>
      </w:r>
      <w:r w:rsidR="0020740B">
        <w:rPr>
          <w:lang w:val="en-US"/>
        </w:rPr>
        <w:t xml:space="preserve">initial frequency </w:t>
      </w:r>
      <w:r w:rsidR="00B01FF3">
        <w:rPr>
          <w:lang w:val="en-US"/>
        </w:rPr>
        <w:t xml:space="preserve">we risk to obtain a biased </w:t>
      </w:r>
      <w:r w:rsidR="00DC5EB3">
        <w:rPr>
          <w:lang w:val="en-US"/>
        </w:rPr>
        <w:t>sample</w:t>
      </w:r>
      <w:r w:rsidR="00B01FF3">
        <w:rPr>
          <w:lang w:val="en-US"/>
        </w:rPr>
        <w:t xml:space="preserve">. We need to ask ourselves what kind of respondents we attract </w:t>
      </w:r>
      <w:r w:rsidR="00503290">
        <w:rPr>
          <w:lang w:val="en-US"/>
        </w:rPr>
        <w:t>with this</w:t>
      </w:r>
      <w:r w:rsidR="00B01FF3">
        <w:rPr>
          <w:lang w:val="en-US"/>
        </w:rPr>
        <w:t xml:space="preserve"> strategy. Do they differ from the rest of the </w:t>
      </w:r>
      <w:r w:rsidR="003177CC">
        <w:rPr>
          <w:lang w:val="en-US"/>
        </w:rPr>
        <w:t>population?</w:t>
      </w:r>
      <w:r w:rsidR="00B01FF3">
        <w:rPr>
          <w:lang w:val="en-US"/>
        </w:rPr>
        <w:t xml:space="preserve"> In other words, </w:t>
      </w:r>
      <w:r w:rsidR="003177CC">
        <w:rPr>
          <w:lang w:val="en-US"/>
        </w:rPr>
        <w:t>does the net s</w:t>
      </w:r>
      <w:r w:rsidR="00DC5EB3">
        <w:rPr>
          <w:lang w:val="en-US"/>
        </w:rPr>
        <w:t>ample</w:t>
      </w:r>
      <w:r w:rsidR="00B01FF3">
        <w:rPr>
          <w:lang w:val="en-US"/>
        </w:rPr>
        <w:t xml:space="preserve"> differ from the gross s</w:t>
      </w:r>
      <w:r w:rsidR="00DC5EB3">
        <w:rPr>
          <w:lang w:val="en-US"/>
        </w:rPr>
        <w:t>ample</w:t>
      </w:r>
      <w:r w:rsidR="00B01FF3">
        <w:rPr>
          <w:lang w:val="en-US"/>
        </w:rPr>
        <w:t>?</w:t>
      </w:r>
      <w:r w:rsidR="003177CC">
        <w:rPr>
          <w:lang w:val="en-US"/>
        </w:rPr>
        <w:t xml:space="preserve"> Perhaps more young people and less </w:t>
      </w:r>
      <w:r w:rsidR="003177CC">
        <w:rPr>
          <w:lang w:val="en-US"/>
        </w:rPr>
        <w:lastRenderedPageBreak/>
        <w:t xml:space="preserve">elderly will respond by using this strategy, or perhaps </w:t>
      </w:r>
      <w:r w:rsidR="00663534">
        <w:rPr>
          <w:lang w:val="en-US"/>
        </w:rPr>
        <w:t>more</w:t>
      </w:r>
      <w:r w:rsidR="003177CC">
        <w:rPr>
          <w:lang w:val="en-US"/>
        </w:rPr>
        <w:t xml:space="preserve"> people living in urban areas respond to the strategy. The quality of data will be compromised. We will get more</w:t>
      </w:r>
      <w:r w:rsidR="001C582E">
        <w:rPr>
          <w:lang w:val="en-US"/>
        </w:rPr>
        <w:t xml:space="preserve"> responses, but we do not know i</w:t>
      </w:r>
      <w:r w:rsidR="003177CC">
        <w:rPr>
          <w:lang w:val="en-US"/>
        </w:rPr>
        <w:t xml:space="preserve">f these people are similar to the respondents we already got, or if they differ. To know more about this we need to investigate the data, too see if there are differences between the gross and net </w:t>
      </w:r>
      <w:r w:rsidR="00DC5EB3">
        <w:rPr>
          <w:lang w:val="en-US"/>
        </w:rPr>
        <w:t>sample</w:t>
      </w:r>
      <w:r w:rsidR="003177CC">
        <w:rPr>
          <w:lang w:val="en-US"/>
        </w:rPr>
        <w:t xml:space="preserve">. </w:t>
      </w:r>
      <w:r w:rsidR="0020740B" w:rsidRPr="00F201EC">
        <w:rPr>
          <w:lang w:val="en-US"/>
        </w:rPr>
        <w:t xml:space="preserve">Attrition in a panel-based sample is also something which must be further considered. Are contact-strategies with several contacts </w:t>
      </w:r>
      <w:r w:rsidR="00893190" w:rsidRPr="00F201EC">
        <w:rPr>
          <w:lang w:val="en-US"/>
        </w:rPr>
        <w:t xml:space="preserve">with different modes </w:t>
      </w:r>
      <w:r w:rsidR="0020740B" w:rsidRPr="00F201EC">
        <w:rPr>
          <w:lang w:val="en-US"/>
        </w:rPr>
        <w:t xml:space="preserve">a </w:t>
      </w:r>
      <w:r w:rsidR="00893190" w:rsidRPr="00F201EC">
        <w:rPr>
          <w:lang w:val="en-US"/>
        </w:rPr>
        <w:t>day/</w:t>
      </w:r>
      <w:r w:rsidR="0020740B" w:rsidRPr="00F201EC">
        <w:rPr>
          <w:lang w:val="en-US"/>
        </w:rPr>
        <w:t>week something responde</w:t>
      </w:r>
      <w:r w:rsidR="00F201EC">
        <w:rPr>
          <w:lang w:val="en-US"/>
        </w:rPr>
        <w:t>nts will accept in the long run?</w:t>
      </w:r>
      <w:r w:rsidR="0020740B" w:rsidRPr="00F201EC">
        <w:rPr>
          <w:lang w:val="en-US"/>
        </w:rPr>
        <w:t xml:space="preserve"> </w:t>
      </w:r>
    </w:p>
    <w:p w:rsidR="00E94FDA" w:rsidRDefault="0020740B" w:rsidP="00E94FDA">
      <w:pPr>
        <w:rPr>
          <w:lang w:val="en-US"/>
        </w:rPr>
      </w:pPr>
      <w:r w:rsidRPr="00F201EC">
        <w:rPr>
          <w:lang w:val="en-US"/>
        </w:rPr>
        <w:t xml:space="preserve">General survey fatigue in the population is also an issue. If one increases the sample size (which is often done in self-administered surveys) and increase the frequency in </w:t>
      </w:r>
      <w:r w:rsidR="001C582E">
        <w:rPr>
          <w:lang w:val="en-US"/>
        </w:rPr>
        <w:t xml:space="preserve">reminders, survey fatigue </w:t>
      </w:r>
      <w:r w:rsidRPr="00F201EC">
        <w:rPr>
          <w:lang w:val="en-US"/>
        </w:rPr>
        <w:t xml:space="preserve">might be even higher in the years to come. </w:t>
      </w:r>
    </w:p>
    <w:p w:rsidR="00580EED" w:rsidRDefault="00580EED" w:rsidP="00580EED">
      <w:pPr>
        <w:rPr>
          <w:rStyle w:val="Overskrift2Tegn"/>
          <w:lang w:val="en-GB"/>
        </w:rPr>
      </w:pPr>
    </w:p>
    <w:p w:rsidR="00580EED" w:rsidRDefault="00580EED" w:rsidP="00580EED">
      <w:pPr>
        <w:rPr>
          <w:lang w:val="en-GB"/>
        </w:rPr>
      </w:pPr>
      <w:r>
        <w:rPr>
          <w:rStyle w:val="Overskrift2Tegn"/>
          <w:lang w:val="en-GB"/>
        </w:rPr>
        <w:t>Conclusion</w:t>
      </w:r>
    </w:p>
    <w:p w:rsidR="00580EED" w:rsidRDefault="00580EED" w:rsidP="00580EED">
      <w:pPr>
        <w:rPr>
          <w:lang w:val="en-GB"/>
        </w:rPr>
      </w:pPr>
    </w:p>
    <w:p w:rsidR="00C24F97" w:rsidRDefault="00C24F97" w:rsidP="00C24F97">
      <w:pPr>
        <w:rPr>
          <w:lang w:val="en-US"/>
        </w:rPr>
      </w:pPr>
      <w:r w:rsidRPr="00340C26">
        <w:rPr>
          <w:lang w:val="en-US"/>
        </w:rPr>
        <w:t xml:space="preserve">The results of </w:t>
      </w:r>
      <w:r>
        <w:rPr>
          <w:lang w:val="en-US"/>
        </w:rPr>
        <w:t>our</w:t>
      </w:r>
      <w:r w:rsidRPr="00340C26">
        <w:rPr>
          <w:lang w:val="en-US"/>
        </w:rPr>
        <w:t xml:space="preserve"> experiments show that</w:t>
      </w:r>
      <w:r>
        <w:rPr>
          <w:lang w:val="en-US"/>
        </w:rPr>
        <w:t xml:space="preserve"> a communication strategy based on high intensity can increase the response rate in surveys. The effect on response rate is greater if the intensity is high in the first week(s). This effect is prevalent both in CAWI and CATI-surveys. Based the results we believe that using a contact strategy based on high </w:t>
      </w:r>
      <w:r w:rsidR="00893190">
        <w:rPr>
          <w:lang w:val="en-US"/>
        </w:rPr>
        <w:t xml:space="preserve">initial frequency can reduce </w:t>
      </w:r>
      <w:r w:rsidR="001327F2">
        <w:rPr>
          <w:lang w:val="en-US"/>
        </w:rPr>
        <w:t>non-response</w:t>
      </w:r>
      <w:r>
        <w:rPr>
          <w:lang w:val="en-US"/>
        </w:rPr>
        <w:t>.</w:t>
      </w:r>
    </w:p>
    <w:p w:rsidR="00B83ABD" w:rsidRDefault="002501F3" w:rsidP="00C24F97">
      <w:pPr>
        <w:rPr>
          <w:lang w:val="en-US"/>
        </w:rPr>
      </w:pPr>
      <w:r>
        <w:rPr>
          <w:lang w:val="en-US"/>
        </w:rPr>
        <w:t xml:space="preserve">A model that emphasizes high </w:t>
      </w:r>
      <w:r w:rsidR="00893190">
        <w:rPr>
          <w:lang w:val="en-US"/>
        </w:rPr>
        <w:t xml:space="preserve">initial frequency </w:t>
      </w:r>
      <w:r>
        <w:rPr>
          <w:lang w:val="en-US"/>
        </w:rPr>
        <w:t xml:space="preserve">could be valuable not only in terms of reducing the non-response itself, but also in terms of saving resources and  operate a survey </w:t>
      </w:r>
      <w:r w:rsidR="003E41D9">
        <w:rPr>
          <w:lang w:val="en-US"/>
        </w:rPr>
        <w:t>department</w:t>
      </w:r>
      <w:r>
        <w:rPr>
          <w:lang w:val="en-US"/>
        </w:rPr>
        <w:t xml:space="preserve">. </w:t>
      </w:r>
      <w:r w:rsidR="00B83ABD">
        <w:rPr>
          <w:lang w:val="en-US"/>
        </w:rPr>
        <w:t>Making the contact-process more automatized in the future may be even more beneficial and would minimize the chances of non-response.</w:t>
      </w:r>
    </w:p>
    <w:p w:rsidR="00B83ABD" w:rsidRDefault="00B83ABD" w:rsidP="00C24F97">
      <w:pPr>
        <w:rPr>
          <w:lang w:val="en-US"/>
        </w:rPr>
      </w:pPr>
    </w:p>
    <w:p w:rsidR="00E94FDA" w:rsidRDefault="00E94FDA" w:rsidP="00580EED">
      <w:pPr>
        <w:rPr>
          <w:lang w:val="en-US"/>
        </w:rPr>
      </w:pPr>
    </w:p>
    <w:p w:rsidR="00CC39DD" w:rsidRDefault="00CC39DD" w:rsidP="00580EED">
      <w:pPr>
        <w:rPr>
          <w:lang w:val="en-US"/>
        </w:rPr>
      </w:pPr>
    </w:p>
    <w:p w:rsidR="00223DBD" w:rsidRDefault="00223DBD" w:rsidP="00580EED">
      <w:pPr>
        <w:rPr>
          <w:lang w:val="en-US"/>
        </w:rPr>
      </w:pPr>
    </w:p>
    <w:p w:rsidR="00223DBD" w:rsidRDefault="00223DBD" w:rsidP="00580EED">
      <w:pPr>
        <w:rPr>
          <w:lang w:val="en-US"/>
        </w:rPr>
      </w:pPr>
    </w:p>
    <w:p w:rsidR="003B0F97" w:rsidRPr="003B0F97" w:rsidRDefault="00223DBD" w:rsidP="003B0F97">
      <w:pPr>
        <w:pStyle w:val="EndNoteBibliography"/>
        <w:ind w:left="720" w:hanging="720"/>
      </w:pPr>
      <w:r>
        <w:fldChar w:fldCharType="begin"/>
      </w:r>
      <w:r>
        <w:instrText xml:space="preserve"> ADDIN EN.REFLIST </w:instrText>
      </w:r>
      <w:r>
        <w:fldChar w:fldCharType="separate"/>
      </w:r>
      <w:r w:rsidR="003B0F97" w:rsidRPr="003B0F97">
        <w:t xml:space="preserve">Couper, M. P. (2008). </w:t>
      </w:r>
      <w:r w:rsidR="003B0F97" w:rsidRPr="003B0F97">
        <w:rPr>
          <w:i/>
        </w:rPr>
        <w:t>Designing effective Web surveys</w:t>
      </w:r>
      <w:r w:rsidR="003B0F97" w:rsidRPr="003B0F97">
        <w:t>. Cambridge: Cambridge University Press.</w:t>
      </w:r>
    </w:p>
    <w:p w:rsidR="003B0F97" w:rsidRPr="003B0F97" w:rsidRDefault="003B0F97" w:rsidP="003B0F97">
      <w:pPr>
        <w:pStyle w:val="EndNoteBibliography"/>
        <w:ind w:left="720" w:hanging="720"/>
      </w:pPr>
      <w:r w:rsidRPr="003B0F97">
        <w:t xml:space="preserve">Dillman, D. A., Smyth, J. D., &amp; Christian, L. M. (2014). </w:t>
      </w:r>
      <w:r w:rsidRPr="003B0F97">
        <w:rPr>
          <w:i/>
        </w:rPr>
        <w:t>Internet, phone, mail, and mixed-mode surveys : the tailored design method</w:t>
      </w:r>
      <w:r w:rsidRPr="003B0F97">
        <w:t xml:space="preserve"> (4th ed. ed.). Hoboken, N.J: Wiley.</w:t>
      </w:r>
    </w:p>
    <w:p w:rsidR="003B0F97" w:rsidRPr="003B0F97" w:rsidRDefault="003B0F97" w:rsidP="003B0F97">
      <w:pPr>
        <w:pStyle w:val="EndNoteBibliography"/>
        <w:ind w:left="720" w:hanging="720"/>
      </w:pPr>
      <w:r w:rsidRPr="003B0F97">
        <w:t xml:space="preserve">Groves, R. M. (2004). </w:t>
      </w:r>
      <w:r w:rsidRPr="003B0F97">
        <w:rPr>
          <w:i/>
        </w:rPr>
        <w:t>Survey methodology</w:t>
      </w:r>
      <w:r w:rsidRPr="003B0F97">
        <w:t>. Hoboken, N.J: Wiley.</w:t>
      </w:r>
    </w:p>
    <w:p w:rsidR="00444025" w:rsidRDefault="00223DBD" w:rsidP="00580EED">
      <w:pPr>
        <w:rPr>
          <w:lang w:val="en-US"/>
        </w:rPr>
      </w:pPr>
      <w:r>
        <w:rPr>
          <w:lang w:val="en-US"/>
        </w:rPr>
        <w:fldChar w:fldCharType="end"/>
      </w:r>
    </w:p>
    <w:p w:rsidR="00444025" w:rsidRDefault="00444025" w:rsidP="00444025">
      <w:pPr>
        <w:rPr>
          <w:lang w:val="en-US"/>
        </w:rPr>
      </w:pPr>
      <w:r>
        <w:rPr>
          <w:lang w:val="en-US"/>
        </w:rPr>
        <w:br w:type="page"/>
      </w:r>
    </w:p>
    <w:p w:rsidR="00444025" w:rsidRDefault="00444025" w:rsidP="00444025">
      <w:pPr>
        <w:pStyle w:val="Overskrift2"/>
        <w:rPr>
          <w:sz w:val="20"/>
          <w:szCs w:val="20"/>
        </w:rPr>
      </w:pPr>
      <w:proofErr w:type="spellStart"/>
      <w:r>
        <w:rPr>
          <w:sz w:val="20"/>
          <w:szCs w:val="20"/>
        </w:rPr>
        <w:lastRenderedPageBreak/>
        <w:t>Appendix</w:t>
      </w:r>
      <w:proofErr w:type="spellEnd"/>
      <w:r>
        <w:rPr>
          <w:sz w:val="20"/>
          <w:szCs w:val="20"/>
        </w:rPr>
        <w:br/>
      </w:r>
      <w:r>
        <w:rPr>
          <w:sz w:val="20"/>
          <w:szCs w:val="20"/>
        </w:rPr>
        <w:br/>
      </w:r>
      <w:proofErr w:type="spellStart"/>
      <w:r w:rsidRPr="00697499">
        <w:rPr>
          <w:sz w:val="20"/>
          <w:szCs w:val="20"/>
        </w:rPr>
        <w:t>Table</w:t>
      </w:r>
      <w:proofErr w:type="spellEnd"/>
      <w:r w:rsidRPr="00697499">
        <w:rPr>
          <w:sz w:val="20"/>
          <w:szCs w:val="20"/>
        </w:rPr>
        <w:t xml:space="preserve"> 1.</w:t>
      </w:r>
    </w:p>
    <w:p w:rsidR="00444025" w:rsidRPr="00697499" w:rsidRDefault="00444025" w:rsidP="00444025"/>
    <w:tbl>
      <w:tblPr>
        <w:tblStyle w:val="Tabellrutenett"/>
        <w:tblW w:w="0" w:type="auto"/>
        <w:tblLook w:val="04A0" w:firstRow="1" w:lastRow="0" w:firstColumn="1" w:lastColumn="0" w:noHBand="0" w:noVBand="1"/>
      </w:tblPr>
      <w:tblGrid>
        <w:gridCol w:w="701"/>
        <w:gridCol w:w="1047"/>
        <w:gridCol w:w="212"/>
        <w:gridCol w:w="874"/>
        <w:gridCol w:w="1102"/>
        <w:gridCol w:w="1952"/>
        <w:gridCol w:w="1567"/>
        <w:gridCol w:w="1832"/>
      </w:tblGrid>
      <w:tr w:rsidR="00444025" w:rsidRPr="00697499" w:rsidTr="009F704E">
        <w:tc>
          <w:tcPr>
            <w:tcW w:w="1960" w:type="dxa"/>
            <w:gridSpan w:val="3"/>
            <w:tcBorders>
              <w:top w:val="single" w:sz="4" w:space="0" w:color="auto"/>
              <w:left w:val="single" w:sz="4" w:space="0" w:color="auto"/>
              <w:bottom w:val="single" w:sz="4" w:space="0" w:color="auto"/>
              <w:right w:val="single" w:sz="4" w:space="0" w:color="auto"/>
            </w:tcBorders>
          </w:tcPr>
          <w:p w:rsidR="00444025" w:rsidRDefault="00444025" w:rsidP="009F704E">
            <w:pPr>
              <w:jc w:val="center"/>
              <w:rPr>
                <w:lang w:val="en-GB" w:eastAsia="nb-NO"/>
              </w:rPr>
            </w:pPr>
          </w:p>
        </w:tc>
        <w:tc>
          <w:tcPr>
            <w:tcW w:w="7327" w:type="dxa"/>
            <w:gridSpan w:val="5"/>
            <w:tcBorders>
              <w:top w:val="single" w:sz="4" w:space="0" w:color="auto"/>
              <w:left w:val="single" w:sz="4" w:space="0" w:color="auto"/>
              <w:bottom w:val="single" w:sz="4" w:space="0" w:color="auto"/>
              <w:right w:val="single" w:sz="4" w:space="0" w:color="auto"/>
            </w:tcBorders>
            <w:hideMark/>
          </w:tcPr>
          <w:p w:rsidR="00444025" w:rsidRDefault="00444025" w:rsidP="009F704E">
            <w:pPr>
              <w:jc w:val="center"/>
              <w:rPr>
                <w:lang w:val="en-GB" w:eastAsia="nb-NO"/>
              </w:rPr>
            </w:pPr>
            <w:r>
              <w:rPr>
                <w:lang w:val="en-GB" w:eastAsia="nb-NO"/>
              </w:rPr>
              <w:t>Messages per week and the response</w:t>
            </w:r>
          </w:p>
        </w:tc>
      </w:tr>
      <w:tr w:rsidR="00444025" w:rsidTr="009F704E">
        <w:tc>
          <w:tcPr>
            <w:tcW w:w="701" w:type="dxa"/>
            <w:tcBorders>
              <w:top w:val="single" w:sz="4" w:space="0" w:color="auto"/>
              <w:left w:val="single" w:sz="4" w:space="0" w:color="auto"/>
              <w:bottom w:val="single" w:sz="4" w:space="0" w:color="auto"/>
              <w:right w:val="single" w:sz="4" w:space="0" w:color="auto"/>
            </w:tcBorders>
          </w:tcPr>
          <w:p w:rsidR="00444025" w:rsidRDefault="00444025" w:rsidP="009F704E">
            <w:pPr>
              <w:rPr>
                <w:lang w:val="en-GB" w:eastAsia="nb-NO"/>
              </w:rPr>
            </w:pPr>
          </w:p>
        </w:tc>
        <w:tc>
          <w:tcPr>
            <w:tcW w:w="104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First week</w:t>
            </w:r>
          </w:p>
        </w:tc>
        <w:tc>
          <w:tcPr>
            <w:tcW w:w="1086" w:type="dxa"/>
            <w:gridSpan w:val="2"/>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Second week</w:t>
            </w:r>
          </w:p>
        </w:tc>
        <w:tc>
          <w:tcPr>
            <w:tcW w:w="110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Third week</w:t>
            </w:r>
          </w:p>
        </w:tc>
        <w:tc>
          <w:tcPr>
            <w:tcW w:w="195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Fourth week</w:t>
            </w:r>
          </w:p>
        </w:tc>
        <w:tc>
          <w:tcPr>
            <w:tcW w:w="156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Number of messages sent</w:t>
            </w:r>
          </w:p>
        </w:tc>
        <w:tc>
          <w:tcPr>
            <w:tcW w:w="183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End result</w:t>
            </w:r>
          </w:p>
        </w:tc>
      </w:tr>
      <w:tr w:rsidR="00444025" w:rsidTr="009F704E">
        <w:tc>
          <w:tcPr>
            <w:tcW w:w="701"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proofErr w:type="spellStart"/>
            <w:r w:rsidRPr="0086317F">
              <w:rPr>
                <w:highlight w:val="yellow"/>
                <w:lang w:val="en-GB" w:eastAsia="nb-NO"/>
              </w:rPr>
              <w:t>SesA</w:t>
            </w:r>
            <w:proofErr w:type="spellEnd"/>
          </w:p>
        </w:tc>
        <w:tc>
          <w:tcPr>
            <w:tcW w:w="1047"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r w:rsidRPr="0086317F">
              <w:rPr>
                <w:highlight w:val="yellow"/>
                <w:lang w:val="en-GB" w:eastAsia="nb-NO"/>
              </w:rPr>
              <w:t xml:space="preserve">5 </w:t>
            </w:r>
            <w:proofErr w:type="spellStart"/>
            <w:r w:rsidRPr="0086317F">
              <w:rPr>
                <w:highlight w:val="yellow"/>
                <w:lang w:val="en-GB" w:eastAsia="nb-NO"/>
              </w:rPr>
              <w:t>sms</w:t>
            </w:r>
            <w:proofErr w:type="spellEnd"/>
            <w:r w:rsidRPr="0086317F">
              <w:rPr>
                <w:highlight w:val="yellow"/>
                <w:lang w:val="en-GB" w:eastAsia="nb-NO"/>
              </w:rPr>
              <w:t>, 5 email</w:t>
            </w:r>
          </w:p>
        </w:tc>
        <w:tc>
          <w:tcPr>
            <w:tcW w:w="1086" w:type="dxa"/>
            <w:gridSpan w:val="2"/>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r w:rsidRPr="0086317F">
              <w:rPr>
                <w:highlight w:val="yellow"/>
                <w:lang w:val="en-GB" w:eastAsia="nb-NO"/>
              </w:rPr>
              <w:t>1 email</w:t>
            </w:r>
          </w:p>
        </w:tc>
        <w:tc>
          <w:tcPr>
            <w:tcW w:w="1102"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r w:rsidRPr="0086317F">
              <w:rPr>
                <w:highlight w:val="yellow"/>
                <w:lang w:val="en-GB" w:eastAsia="nb-NO"/>
              </w:rPr>
              <w:t xml:space="preserve">1 </w:t>
            </w:r>
            <w:proofErr w:type="spellStart"/>
            <w:r w:rsidRPr="0086317F">
              <w:rPr>
                <w:highlight w:val="yellow"/>
                <w:lang w:val="en-GB" w:eastAsia="nb-NO"/>
              </w:rPr>
              <w:t>sms</w:t>
            </w:r>
            <w:proofErr w:type="spellEnd"/>
          </w:p>
        </w:tc>
        <w:tc>
          <w:tcPr>
            <w:tcW w:w="1952"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i/>
                <w:highlight w:val="yellow"/>
                <w:lang w:val="en-GB" w:eastAsia="nb-NO"/>
              </w:rPr>
            </w:pPr>
            <w:r w:rsidRPr="0086317F">
              <w:rPr>
                <w:i/>
                <w:highlight w:val="yellow"/>
                <w:lang w:val="en-GB" w:eastAsia="nb-NO"/>
              </w:rPr>
              <w:t>No messages sent</w:t>
            </w:r>
          </w:p>
        </w:tc>
        <w:tc>
          <w:tcPr>
            <w:tcW w:w="1567"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r w:rsidRPr="0086317F">
              <w:rPr>
                <w:highlight w:val="yellow"/>
                <w:lang w:val="en-GB" w:eastAsia="nb-NO"/>
              </w:rPr>
              <w:t xml:space="preserve">12 (6 </w:t>
            </w:r>
            <w:proofErr w:type="spellStart"/>
            <w:r w:rsidRPr="0086317F">
              <w:rPr>
                <w:highlight w:val="yellow"/>
                <w:lang w:val="en-GB" w:eastAsia="nb-NO"/>
              </w:rPr>
              <w:t>sms</w:t>
            </w:r>
            <w:proofErr w:type="spellEnd"/>
            <w:r w:rsidRPr="0086317F">
              <w:rPr>
                <w:highlight w:val="yellow"/>
                <w:lang w:val="en-GB" w:eastAsia="nb-NO"/>
              </w:rPr>
              <w:t>, 6 email)</w:t>
            </w:r>
          </w:p>
        </w:tc>
        <w:tc>
          <w:tcPr>
            <w:tcW w:w="1832"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r w:rsidRPr="0086317F">
              <w:rPr>
                <w:highlight w:val="yellow"/>
                <w:lang w:val="en-GB" w:eastAsia="nb-NO"/>
              </w:rPr>
              <w:t>42,1</w:t>
            </w:r>
          </w:p>
        </w:tc>
      </w:tr>
      <w:tr w:rsidR="00444025" w:rsidTr="009F704E">
        <w:tc>
          <w:tcPr>
            <w:tcW w:w="701"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proofErr w:type="spellStart"/>
            <w:r>
              <w:rPr>
                <w:lang w:val="en-GB" w:eastAsia="nb-NO"/>
              </w:rPr>
              <w:t>SesB</w:t>
            </w:r>
            <w:proofErr w:type="spellEnd"/>
          </w:p>
        </w:tc>
        <w:tc>
          <w:tcPr>
            <w:tcW w:w="104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3 </w:t>
            </w:r>
            <w:proofErr w:type="spellStart"/>
            <w:r>
              <w:rPr>
                <w:lang w:val="en-GB" w:eastAsia="nb-NO"/>
              </w:rPr>
              <w:t>sms</w:t>
            </w:r>
            <w:proofErr w:type="spellEnd"/>
            <w:r>
              <w:rPr>
                <w:lang w:val="en-GB" w:eastAsia="nb-NO"/>
              </w:rPr>
              <w:t>, 2 email</w:t>
            </w:r>
          </w:p>
        </w:tc>
        <w:tc>
          <w:tcPr>
            <w:tcW w:w="1086" w:type="dxa"/>
            <w:gridSpan w:val="2"/>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 </w:t>
            </w:r>
            <w:proofErr w:type="spellStart"/>
            <w:r>
              <w:rPr>
                <w:lang w:val="en-GB" w:eastAsia="nb-NO"/>
              </w:rPr>
              <w:t>sms</w:t>
            </w:r>
            <w:proofErr w:type="spellEnd"/>
            <w:r>
              <w:rPr>
                <w:lang w:val="en-GB" w:eastAsia="nb-NO"/>
              </w:rPr>
              <w:t>, 2 email</w:t>
            </w:r>
          </w:p>
        </w:tc>
        <w:tc>
          <w:tcPr>
            <w:tcW w:w="110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 </w:t>
            </w:r>
            <w:proofErr w:type="spellStart"/>
            <w:r>
              <w:rPr>
                <w:lang w:val="en-GB" w:eastAsia="nb-NO"/>
              </w:rPr>
              <w:t>sms</w:t>
            </w:r>
            <w:proofErr w:type="spellEnd"/>
          </w:p>
        </w:tc>
        <w:tc>
          <w:tcPr>
            <w:tcW w:w="195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2 </w:t>
            </w:r>
            <w:proofErr w:type="spellStart"/>
            <w:r>
              <w:rPr>
                <w:lang w:val="en-GB" w:eastAsia="nb-NO"/>
              </w:rPr>
              <w:t>sms</w:t>
            </w:r>
            <w:proofErr w:type="spellEnd"/>
            <w:r>
              <w:rPr>
                <w:lang w:val="en-GB" w:eastAsia="nb-NO"/>
              </w:rPr>
              <w:t>, 2 email</w:t>
            </w:r>
          </w:p>
        </w:tc>
        <w:tc>
          <w:tcPr>
            <w:tcW w:w="156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13 (7 </w:t>
            </w:r>
            <w:proofErr w:type="spellStart"/>
            <w:r>
              <w:rPr>
                <w:lang w:val="en-GB" w:eastAsia="nb-NO"/>
              </w:rPr>
              <w:t>sms</w:t>
            </w:r>
            <w:proofErr w:type="spellEnd"/>
            <w:r>
              <w:rPr>
                <w:lang w:val="en-GB" w:eastAsia="nb-NO"/>
              </w:rPr>
              <w:t>, 6 email)</w:t>
            </w:r>
          </w:p>
        </w:tc>
        <w:tc>
          <w:tcPr>
            <w:tcW w:w="183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39,2</w:t>
            </w:r>
          </w:p>
        </w:tc>
      </w:tr>
      <w:tr w:rsidR="00444025" w:rsidTr="009F704E">
        <w:tc>
          <w:tcPr>
            <w:tcW w:w="701"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proofErr w:type="spellStart"/>
            <w:r>
              <w:rPr>
                <w:lang w:val="en-GB" w:eastAsia="nb-NO"/>
              </w:rPr>
              <w:t>SesC</w:t>
            </w:r>
            <w:proofErr w:type="spellEnd"/>
          </w:p>
        </w:tc>
        <w:tc>
          <w:tcPr>
            <w:tcW w:w="104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2 </w:t>
            </w:r>
            <w:proofErr w:type="spellStart"/>
            <w:r>
              <w:rPr>
                <w:lang w:val="en-GB" w:eastAsia="nb-NO"/>
              </w:rPr>
              <w:t>sms</w:t>
            </w:r>
            <w:proofErr w:type="spellEnd"/>
            <w:r>
              <w:rPr>
                <w:lang w:val="en-GB" w:eastAsia="nb-NO"/>
              </w:rPr>
              <w:t>, 1 email</w:t>
            </w:r>
          </w:p>
        </w:tc>
        <w:tc>
          <w:tcPr>
            <w:tcW w:w="1086" w:type="dxa"/>
            <w:gridSpan w:val="2"/>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 </w:t>
            </w:r>
            <w:proofErr w:type="spellStart"/>
            <w:r>
              <w:rPr>
                <w:lang w:val="en-GB" w:eastAsia="nb-NO"/>
              </w:rPr>
              <w:t>sms</w:t>
            </w:r>
            <w:proofErr w:type="spellEnd"/>
            <w:r>
              <w:rPr>
                <w:lang w:val="en-GB" w:eastAsia="nb-NO"/>
              </w:rPr>
              <w:t>, 1 email</w:t>
            </w:r>
          </w:p>
        </w:tc>
        <w:tc>
          <w:tcPr>
            <w:tcW w:w="110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 </w:t>
            </w:r>
            <w:proofErr w:type="spellStart"/>
            <w:r>
              <w:rPr>
                <w:lang w:val="en-GB" w:eastAsia="nb-NO"/>
              </w:rPr>
              <w:t>sms</w:t>
            </w:r>
            <w:proofErr w:type="spellEnd"/>
          </w:p>
        </w:tc>
        <w:tc>
          <w:tcPr>
            <w:tcW w:w="195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3 </w:t>
            </w:r>
            <w:proofErr w:type="spellStart"/>
            <w:r>
              <w:rPr>
                <w:lang w:val="en-GB" w:eastAsia="nb-NO"/>
              </w:rPr>
              <w:t>sms</w:t>
            </w:r>
            <w:proofErr w:type="spellEnd"/>
            <w:r>
              <w:rPr>
                <w:lang w:val="en-GB" w:eastAsia="nb-NO"/>
              </w:rPr>
              <w:t>, 3 email</w:t>
            </w:r>
          </w:p>
        </w:tc>
        <w:tc>
          <w:tcPr>
            <w:tcW w:w="156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12 (7 </w:t>
            </w:r>
            <w:proofErr w:type="spellStart"/>
            <w:r>
              <w:rPr>
                <w:lang w:val="en-GB" w:eastAsia="nb-NO"/>
              </w:rPr>
              <w:t>sms</w:t>
            </w:r>
            <w:proofErr w:type="spellEnd"/>
            <w:r>
              <w:rPr>
                <w:lang w:val="en-GB" w:eastAsia="nb-NO"/>
              </w:rPr>
              <w:t>, 5 email)</w:t>
            </w:r>
          </w:p>
        </w:tc>
        <w:tc>
          <w:tcPr>
            <w:tcW w:w="183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37,7</w:t>
            </w:r>
          </w:p>
        </w:tc>
      </w:tr>
      <w:tr w:rsidR="00444025" w:rsidTr="009F704E">
        <w:tc>
          <w:tcPr>
            <w:tcW w:w="701"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proofErr w:type="spellStart"/>
            <w:r w:rsidRPr="0086317F">
              <w:rPr>
                <w:highlight w:val="yellow"/>
                <w:lang w:val="en-GB" w:eastAsia="nb-NO"/>
              </w:rPr>
              <w:t>SesD</w:t>
            </w:r>
            <w:proofErr w:type="spellEnd"/>
          </w:p>
        </w:tc>
        <w:tc>
          <w:tcPr>
            <w:tcW w:w="1047"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r w:rsidRPr="0086317F">
              <w:rPr>
                <w:highlight w:val="yellow"/>
                <w:lang w:val="en-GB" w:eastAsia="nb-NO"/>
              </w:rPr>
              <w:t xml:space="preserve">6 </w:t>
            </w:r>
            <w:proofErr w:type="spellStart"/>
            <w:r w:rsidRPr="0086317F">
              <w:rPr>
                <w:highlight w:val="yellow"/>
                <w:lang w:val="en-GB" w:eastAsia="nb-NO"/>
              </w:rPr>
              <w:t>sms</w:t>
            </w:r>
            <w:proofErr w:type="spellEnd"/>
            <w:r w:rsidRPr="0086317F">
              <w:rPr>
                <w:highlight w:val="yellow"/>
                <w:lang w:val="en-GB" w:eastAsia="nb-NO"/>
              </w:rPr>
              <w:t xml:space="preserve">, 3 email </w:t>
            </w:r>
          </w:p>
        </w:tc>
        <w:tc>
          <w:tcPr>
            <w:tcW w:w="1086" w:type="dxa"/>
            <w:gridSpan w:val="2"/>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r w:rsidRPr="0086317F">
              <w:rPr>
                <w:highlight w:val="yellow"/>
                <w:lang w:val="en-GB" w:eastAsia="nb-NO"/>
              </w:rPr>
              <w:t>1 email</w:t>
            </w:r>
          </w:p>
        </w:tc>
        <w:tc>
          <w:tcPr>
            <w:tcW w:w="1102"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r w:rsidRPr="0086317F">
              <w:rPr>
                <w:highlight w:val="yellow"/>
                <w:lang w:val="en-GB" w:eastAsia="nb-NO"/>
              </w:rPr>
              <w:t xml:space="preserve">1 </w:t>
            </w:r>
            <w:proofErr w:type="spellStart"/>
            <w:r w:rsidRPr="0086317F">
              <w:rPr>
                <w:highlight w:val="yellow"/>
                <w:lang w:val="en-GB" w:eastAsia="nb-NO"/>
              </w:rPr>
              <w:t>sms</w:t>
            </w:r>
            <w:proofErr w:type="spellEnd"/>
          </w:p>
        </w:tc>
        <w:tc>
          <w:tcPr>
            <w:tcW w:w="1952"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r w:rsidRPr="0086317F">
              <w:rPr>
                <w:i/>
                <w:highlight w:val="yellow"/>
                <w:lang w:val="en-GB" w:eastAsia="nb-NO"/>
              </w:rPr>
              <w:t>No messages sent</w:t>
            </w:r>
          </w:p>
        </w:tc>
        <w:tc>
          <w:tcPr>
            <w:tcW w:w="1567"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r w:rsidRPr="0086317F">
              <w:rPr>
                <w:highlight w:val="yellow"/>
                <w:lang w:val="en-GB" w:eastAsia="nb-NO"/>
              </w:rPr>
              <w:t xml:space="preserve">11 (7 </w:t>
            </w:r>
            <w:proofErr w:type="spellStart"/>
            <w:r w:rsidRPr="0086317F">
              <w:rPr>
                <w:highlight w:val="yellow"/>
                <w:lang w:val="en-GB" w:eastAsia="nb-NO"/>
              </w:rPr>
              <w:t>sms</w:t>
            </w:r>
            <w:proofErr w:type="spellEnd"/>
            <w:r w:rsidRPr="0086317F">
              <w:rPr>
                <w:highlight w:val="yellow"/>
                <w:lang w:val="en-GB" w:eastAsia="nb-NO"/>
              </w:rPr>
              <w:t>, 4 email)</w:t>
            </w:r>
          </w:p>
        </w:tc>
        <w:tc>
          <w:tcPr>
            <w:tcW w:w="1832" w:type="dxa"/>
            <w:tcBorders>
              <w:top w:val="single" w:sz="4" w:space="0" w:color="auto"/>
              <w:left w:val="single" w:sz="4" w:space="0" w:color="auto"/>
              <w:bottom w:val="single" w:sz="4" w:space="0" w:color="auto"/>
              <w:right w:val="single" w:sz="4" w:space="0" w:color="auto"/>
            </w:tcBorders>
            <w:hideMark/>
          </w:tcPr>
          <w:p w:rsidR="00444025" w:rsidRPr="0086317F" w:rsidRDefault="00444025" w:rsidP="009F704E">
            <w:pPr>
              <w:rPr>
                <w:highlight w:val="yellow"/>
                <w:lang w:val="en-GB" w:eastAsia="nb-NO"/>
              </w:rPr>
            </w:pPr>
            <w:r w:rsidRPr="0086317F">
              <w:rPr>
                <w:highlight w:val="yellow"/>
                <w:lang w:val="en-GB" w:eastAsia="nb-NO"/>
              </w:rPr>
              <w:t>42,0</w:t>
            </w:r>
          </w:p>
        </w:tc>
      </w:tr>
      <w:tr w:rsidR="00444025" w:rsidTr="009F704E">
        <w:tc>
          <w:tcPr>
            <w:tcW w:w="701"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proofErr w:type="spellStart"/>
            <w:r>
              <w:rPr>
                <w:lang w:val="en-GB" w:eastAsia="nb-NO"/>
              </w:rPr>
              <w:t>SesE</w:t>
            </w:r>
            <w:proofErr w:type="spellEnd"/>
          </w:p>
        </w:tc>
        <w:tc>
          <w:tcPr>
            <w:tcW w:w="104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3 </w:t>
            </w:r>
            <w:proofErr w:type="spellStart"/>
            <w:r>
              <w:rPr>
                <w:lang w:val="en-GB" w:eastAsia="nb-NO"/>
              </w:rPr>
              <w:t>sms</w:t>
            </w:r>
            <w:proofErr w:type="spellEnd"/>
            <w:r>
              <w:rPr>
                <w:lang w:val="en-GB" w:eastAsia="nb-NO"/>
              </w:rPr>
              <w:t>, 3 email</w:t>
            </w:r>
          </w:p>
        </w:tc>
        <w:tc>
          <w:tcPr>
            <w:tcW w:w="1086" w:type="dxa"/>
            <w:gridSpan w:val="2"/>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1 email</w:t>
            </w:r>
          </w:p>
        </w:tc>
        <w:tc>
          <w:tcPr>
            <w:tcW w:w="110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 </w:t>
            </w:r>
            <w:proofErr w:type="spellStart"/>
            <w:r>
              <w:rPr>
                <w:lang w:val="en-GB" w:eastAsia="nb-NO"/>
              </w:rPr>
              <w:t>sms</w:t>
            </w:r>
            <w:proofErr w:type="spellEnd"/>
          </w:p>
        </w:tc>
        <w:tc>
          <w:tcPr>
            <w:tcW w:w="195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2 </w:t>
            </w:r>
            <w:proofErr w:type="spellStart"/>
            <w:r>
              <w:rPr>
                <w:lang w:val="en-GB" w:eastAsia="nb-NO"/>
              </w:rPr>
              <w:t>sms</w:t>
            </w:r>
            <w:proofErr w:type="spellEnd"/>
            <w:r>
              <w:rPr>
                <w:lang w:val="en-GB" w:eastAsia="nb-NO"/>
              </w:rPr>
              <w:t>, 2 email</w:t>
            </w:r>
          </w:p>
        </w:tc>
        <w:tc>
          <w:tcPr>
            <w:tcW w:w="156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12 (6 </w:t>
            </w:r>
            <w:proofErr w:type="spellStart"/>
            <w:r>
              <w:rPr>
                <w:lang w:val="en-GB" w:eastAsia="nb-NO"/>
              </w:rPr>
              <w:t>sms</w:t>
            </w:r>
            <w:proofErr w:type="spellEnd"/>
            <w:r>
              <w:rPr>
                <w:lang w:val="en-GB" w:eastAsia="nb-NO"/>
              </w:rPr>
              <w:t>, 6 email)</w:t>
            </w:r>
          </w:p>
        </w:tc>
        <w:tc>
          <w:tcPr>
            <w:tcW w:w="183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39,0</w:t>
            </w:r>
          </w:p>
        </w:tc>
      </w:tr>
      <w:tr w:rsidR="00444025" w:rsidTr="009F704E">
        <w:tc>
          <w:tcPr>
            <w:tcW w:w="701"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proofErr w:type="spellStart"/>
            <w:r>
              <w:rPr>
                <w:lang w:val="en-GB" w:eastAsia="nb-NO"/>
              </w:rPr>
              <w:t>SeeA</w:t>
            </w:r>
            <w:proofErr w:type="spellEnd"/>
          </w:p>
        </w:tc>
        <w:tc>
          <w:tcPr>
            <w:tcW w:w="104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 </w:t>
            </w:r>
            <w:proofErr w:type="spellStart"/>
            <w:r>
              <w:rPr>
                <w:lang w:val="en-GB" w:eastAsia="nb-NO"/>
              </w:rPr>
              <w:t>sms</w:t>
            </w:r>
            <w:proofErr w:type="spellEnd"/>
            <w:r>
              <w:rPr>
                <w:lang w:val="en-GB" w:eastAsia="nb-NO"/>
              </w:rPr>
              <w:t>, 5 email</w:t>
            </w:r>
          </w:p>
        </w:tc>
        <w:tc>
          <w:tcPr>
            <w:tcW w:w="1086" w:type="dxa"/>
            <w:gridSpan w:val="2"/>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1 email</w:t>
            </w:r>
          </w:p>
        </w:tc>
        <w:tc>
          <w:tcPr>
            <w:tcW w:w="110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1 email</w:t>
            </w:r>
          </w:p>
        </w:tc>
        <w:tc>
          <w:tcPr>
            <w:tcW w:w="195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2 email</w:t>
            </w:r>
          </w:p>
        </w:tc>
        <w:tc>
          <w:tcPr>
            <w:tcW w:w="156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10 (1 </w:t>
            </w:r>
            <w:proofErr w:type="spellStart"/>
            <w:r>
              <w:rPr>
                <w:lang w:val="en-GB" w:eastAsia="nb-NO"/>
              </w:rPr>
              <w:t>sms</w:t>
            </w:r>
            <w:proofErr w:type="spellEnd"/>
            <w:r>
              <w:rPr>
                <w:lang w:val="en-GB" w:eastAsia="nb-NO"/>
              </w:rPr>
              <w:t>, 9 email)</w:t>
            </w:r>
          </w:p>
        </w:tc>
        <w:tc>
          <w:tcPr>
            <w:tcW w:w="183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37,7</w:t>
            </w:r>
          </w:p>
        </w:tc>
      </w:tr>
      <w:tr w:rsidR="00444025" w:rsidTr="009F704E">
        <w:tc>
          <w:tcPr>
            <w:tcW w:w="701"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proofErr w:type="spellStart"/>
            <w:r>
              <w:rPr>
                <w:lang w:val="en-GB" w:eastAsia="nb-NO"/>
              </w:rPr>
              <w:t>SeeB</w:t>
            </w:r>
            <w:proofErr w:type="spellEnd"/>
          </w:p>
        </w:tc>
        <w:tc>
          <w:tcPr>
            <w:tcW w:w="104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 </w:t>
            </w:r>
            <w:proofErr w:type="spellStart"/>
            <w:r>
              <w:rPr>
                <w:lang w:val="en-GB" w:eastAsia="nb-NO"/>
              </w:rPr>
              <w:t>sms</w:t>
            </w:r>
            <w:proofErr w:type="spellEnd"/>
            <w:r>
              <w:rPr>
                <w:lang w:val="en-GB" w:eastAsia="nb-NO"/>
              </w:rPr>
              <w:t>, 2 email</w:t>
            </w:r>
          </w:p>
        </w:tc>
        <w:tc>
          <w:tcPr>
            <w:tcW w:w="1086" w:type="dxa"/>
            <w:gridSpan w:val="2"/>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2 email</w:t>
            </w:r>
          </w:p>
        </w:tc>
        <w:tc>
          <w:tcPr>
            <w:tcW w:w="110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1 email</w:t>
            </w:r>
          </w:p>
        </w:tc>
        <w:tc>
          <w:tcPr>
            <w:tcW w:w="195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2 </w:t>
            </w:r>
            <w:proofErr w:type="spellStart"/>
            <w:r>
              <w:rPr>
                <w:lang w:val="en-GB" w:eastAsia="nb-NO"/>
              </w:rPr>
              <w:t>sms</w:t>
            </w:r>
            <w:proofErr w:type="spellEnd"/>
            <w:r>
              <w:rPr>
                <w:lang w:val="en-GB" w:eastAsia="nb-NO"/>
              </w:rPr>
              <w:t>, 2 email</w:t>
            </w:r>
          </w:p>
        </w:tc>
        <w:tc>
          <w:tcPr>
            <w:tcW w:w="156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10 (3 </w:t>
            </w:r>
            <w:proofErr w:type="spellStart"/>
            <w:r>
              <w:rPr>
                <w:lang w:val="en-GB" w:eastAsia="nb-NO"/>
              </w:rPr>
              <w:t>sms</w:t>
            </w:r>
            <w:proofErr w:type="spellEnd"/>
            <w:r>
              <w:rPr>
                <w:lang w:val="en-GB" w:eastAsia="nb-NO"/>
              </w:rPr>
              <w:t>, 7 email)</w:t>
            </w:r>
          </w:p>
        </w:tc>
        <w:tc>
          <w:tcPr>
            <w:tcW w:w="183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31,3</w:t>
            </w:r>
          </w:p>
        </w:tc>
      </w:tr>
      <w:tr w:rsidR="00444025" w:rsidTr="009F704E">
        <w:tc>
          <w:tcPr>
            <w:tcW w:w="701"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proofErr w:type="spellStart"/>
            <w:r>
              <w:rPr>
                <w:lang w:val="en-GB" w:eastAsia="nb-NO"/>
              </w:rPr>
              <w:t>SeeC</w:t>
            </w:r>
            <w:proofErr w:type="spellEnd"/>
          </w:p>
        </w:tc>
        <w:tc>
          <w:tcPr>
            <w:tcW w:w="104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 </w:t>
            </w:r>
            <w:proofErr w:type="spellStart"/>
            <w:r>
              <w:rPr>
                <w:lang w:val="en-GB" w:eastAsia="nb-NO"/>
              </w:rPr>
              <w:t>sms</w:t>
            </w:r>
            <w:proofErr w:type="spellEnd"/>
            <w:r>
              <w:rPr>
                <w:lang w:val="en-GB" w:eastAsia="nb-NO"/>
              </w:rPr>
              <w:t>, 2 email</w:t>
            </w:r>
          </w:p>
        </w:tc>
        <w:tc>
          <w:tcPr>
            <w:tcW w:w="1086" w:type="dxa"/>
            <w:gridSpan w:val="2"/>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2 email</w:t>
            </w:r>
          </w:p>
        </w:tc>
        <w:tc>
          <w:tcPr>
            <w:tcW w:w="110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1 email</w:t>
            </w:r>
          </w:p>
        </w:tc>
        <w:tc>
          <w:tcPr>
            <w:tcW w:w="195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2 </w:t>
            </w:r>
            <w:proofErr w:type="spellStart"/>
            <w:r>
              <w:rPr>
                <w:lang w:val="en-GB" w:eastAsia="nb-NO"/>
              </w:rPr>
              <w:t>sms</w:t>
            </w:r>
            <w:proofErr w:type="spellEnd"/>
            <w:r>
              <w:rPr>
                <w:lang w:val="en-GB" w:eastAsia="nb-NO"/>
              </w:rPr>
              <w:t>, 2 email</w:t>
            </w:r>
          </w:p>
        </w:tc>
        <w:tc>
          <w:tcPr>
            <w:tcW w:w="156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10 (3 </w:t>
            </w:r>
            <w:proofErr w:type="spellStart"/>
            <w:r>
              <w:rPr>
                <w:lang w:val="en-GB" w:eastAsia="nb-NO"/>
              </w:rPr>
              <w:t>sms</w:t>
            </w:r>
            <w:proofErr w:type="spellEnd"/>
            <w:r>
              <w:rPr>
                <w:lang w:val="en-GB" w:eastAsia="nb-NO"/>
              </w:rPr>
              <w:t>, 7 email)</w:t>
            </w:r>
          </w:p>
        </w:tc>
        <w:tc>
          <w:tcPr>
            <w:tcW w:w="183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33,4</w:t>
            </w:r>
          </w:p>
        </w:tc>
      </w:tr>
      <w:tr w:rsidR="00444025" w:rsidTr="009F704E">
        <w:tc>
          <w:tcPr>
            <w:tcW w:w="701"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proofErr w:type="spellStart"/>
            <w:r>
              <w:rPr>
                <w:lang w:val="en-GB" w:eastAsia="nb-NO"/>
              </w:rPr>
              <w:t>SeeD</w:t>
            </w:r>
            <w:proofErr w:type="spellEnd"/>
          </w:p>
        </w:tc>
        <w:tc>
          <w:tcPr>
            <w:tcW w:w="104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 </w:t>
            </w:r>
            <w:proofErr w:type="spellStart"/>
            <w:r>
              <w:rPr>
                <w:lang w:val="en-GB" w:eastAsia="nb-NO"/>
              </w:rPr>
              <w:t>sms</w:t>
            </w:r>
            <w:proofErr w:type="spellEnd"/>
            <w:r>
              <w:rPr>
                <w:lang w:val="en-GB" w:eastAsia="nb-NO"/>
              </w:rPr>
              <w:t>, 3 email</w:t>
            </w:r>
          </w:p>
        </w:tc>
        <w:tc>
          <w:tcPr>
            <w:tcW w:w="1086" w:type="dxa"/>
            <w:gridSpan w:val="2"/>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1 email</w:t>
            </w:r>
          </w:p>
        </w:tc>
        <w:tc>
          <w:tcPr>
            <w:tcW w:w="110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1 email</w:t>
            </w:r>
          </w:p>
        </w:tc>
        <w:tc>
          <w:tcPr>
            <w:tcW w:w="195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2 </w:t>
            </w:r>
            <w:proofErr w:type="spellStart"/>
            <w:r>
              <w:rPr>
                <w:lang w:val="en-GB" w:eastAsia="nb-NO"/>
              </w:rPr>
              <w:t>sms</w:t>
            </w:r>
            <w:proofErr w:type="spellEnd"/>
            <w:r>
              <w:rPr>
                <w:lang w:val="en-GB" w:eastAsia="nb-NO"/>
              </w:rPr>
              <w:t>, 2 email</w:t>
            </w:r>
          </w:p>
        </w:tc>
        <w:tc>
          <w:tcPr>
            <w:tcW w:w="156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10 (3 </w:t>
            </w:r>
            <w:proofErr w:type="spellStart"/>
            <w:r>
              <w:rPr>
                <w:lang w:val="en-GB" w:eastAsia="nb-NO"/>
              </w:rPr>
              <w:t>sms</w:t>
            </w:r>
            <w:proofErr w:type="spellEnd"/>
            <w:r>
              <w:rPr>
                <w:lang w:val="en-GB" w:eastAsia="nb-NO"/>
              </w:rPr>
              <w:t>, 7 email)</w:t>
            </w:r>
          </w:p>
        </w:tc>
        <w:tc>
          <w:tcPr>
            <w:tcW w:w="183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35,8</w:t>
            </w:r>
          </w:p>
        </w:tc>
      </w:tr>
      <w:tr w:rsidR="00444025" w:rsidTr="009F704E">
        <w:tc>
          <w:tcPr>
            <w:tcW w:w="701"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proofErr w:type="spellStart"/>
            <w:r>
              <w:rPr>
                <w:lang w:val="en-GB" w:eastAsia="nb-NO"/>
              </w:rPr>
              <w:t>SeeE</w:t>
            </w:r>
            <w:proofErr w:type="spellEnd"/>
          </w:p>
        </w:tc>
        <w:tc>
          <w:tcPr>
            <w:tcW w:w="104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 </w:t>
            </w:r>
            <w:proofErr w:type="spellStart"/>
            <w:r>
              <w:rPr>
                <w:lang w:val="en-GB" w:eastAsia="nb-NO"/>
              </w:rPr>
              <w:t>sms</w:t>
            </w:r>
            <w:proofErr w:type="spellEnd"/>
            <w:r>
              <w:rPr>
                <w:lang w:val="en-GB" w:eastAsia="nb-NO"/>
              </w:rPr>
              <w:t>, 2 email</w:t>
            </w:r>
          </w:p>
        </w:tc>
        <w:tc>
          <w:tcPr>
            <w:tcW w:w="1086" w:type="dxa"/>
            <w:gridSpan w:val="2"/>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2 email</w:t>
            </w:r>
          </w:p>
        </w:tc>
        <w:tc>
          <w:tcPr>
            <w:tcW w:w="110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1 email</w:t>
            </w:r>
          </w:p>
        </w:tc>
        <w:tc>
          <w:tcPr>
            <w:tcW w:w="195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2 </w:t>
            </w:r>
            <w:proofErr w:type="spellStart"/>
            <w:r>
              <w:rPr>
                <w:lang w:val="en-GB" w:eastAsia="nb-NO"/>
              </w:rPr>
              <w:t>sms</w:t>
            </w:r>
            <w:proofErr w:type="spellEnd"/>
            <w:r>
              <w:rPr>
                <w:lang w:val="en-GB" w:eastAsia="nb-NO"/>
              </w:rPr>
              <w:t>, 2 email</w:t>
            </w:r>
          </w:p>
        </w:tc>
        <w:tc>
          <w:tcPr>
            <w:tcW w:w="1567"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 xml:space="preserve">10 (3 </w:t>
            </w:r>
            <w:proofErr w:type="spellStart"/>
            <w:r>
              <w:rPr>
                <w:lang w:val="en-GB" w:eastAsia="nb-NO"/>
              </w:rPr>
              <w:t>sms</w:t>
            </w:r>
            <w:proofErr w:type="spellEnd"/>
            <w:r>
              <w:rPr>
                <w:lang w:val="en-GB" w:eastAsia="nb-NO"/>
              </w:rPr>
              <w:t>, 7 email)</w:t>
            </w:r>
          </w:p>
        </w:tc>
        <w:tc>
          <w:tcPr>
            <w:tcW w:w="1832" w:type="dxa"/>
            <w:tcBorders>
              <w:top w:val="single" w:sz="4" w:space="0" w:color="auto"/>
              <w:left w:val="single" w:sz="4" w:space="0" w:color="auto"/>
              <w:bottom w:val="single" w:sz="4" w:space="0" w:color="auto"/>
              <w:right w:val="single" w:sz="4" w:space="0" w:color="auto"/>
            </w:tcBorders>
            <w:hideMark/>
          </w:tcPr>
          <w:p w:rsidR="00444025" w:rsidRDefault="00444025" w:rsidP="009F704E">
            <w:pPr>
              <w:rPr>
                <w:lang w:val="en-GB" w:eastAsia="nb-NO"/>
              </w:rPr>
            </w:pPr>
            <w:r>
              <w:rPr>
                <w:lang w:val="en-GB" w:eastAsia="nb-NO"/>
              </w:rPr>
              <w:t>33,4</w:t>
            </w:r>
          </w:p>
        </w:tc>
      </w:tr>
    </w:tbl>
    <w:p w:rsidR="00444025" w:rsidRDefault="00444025" w:rsidP="00444025">
      <w:pPr>
        <w:pStyle w:val="Bildetekst"/>
        <w:keepNext/>
        <w:rPr>
          <w:lang w:val="en-US"/>
        </w:rPr>
      </w:pPr>
    </w:p>
    <w:p w:rsidR="00444025" w:rsidRPr="00D619B6" w:rsidRDefault="00444025" w:rsidP="00444025">
      <w:pPr>
        <w:pStyle w:val="Bildetekst"/>
        <w:keepNext/>
        <w:rPr>
          <w:sz w:val="20"/>
          <w:szCs w:val="20"/>
          <w:lang w:val="en-US"/>
        </w:rPr>
      </w:pPr>
      <w:r w:rsidRPr="00D619B6">
        <w:rPr>
          <w:sz w:val="20"/>
          <w:szCs w:val="20"/>
          <w:lang w:val="en-US"/>
        </w:rPr>
        <w:t xml:space="preserve">Table </w:t>
      </w:r>
      <w:proofErr w:type="gramStart"/>
      <w:r w:rsidRPr="00D619B6">
        <w:rPr>
          <w:sz w:val="20"/>
          <w:szCs w:val="20"/>
          <w:lang w:val="en-US"/>
        </w:rPr>
        <w:t>1 :</w:t>
      </w:r>
      <w:proofErr w:type="gramEnd"/>
      <w:r w:rsidRPr="00D619B6">
        <w:rPr>
          <w:sz w:val="20"/>
          <w:szCs w:val="20"/>
          <w:lang w:val="en-US"/>
        </w:rPr>
        <w:t xml:space="preserve"> End results in LMU per cent, based on messages intensity and mode. </w:t>
      </w:r>
    </w:p>
    <w:p w:rsidR="00444025" w:rsidRPr="0056300C" w:rsidRDefault="00444025" w:rsidP="00444025">
      <w:pPr>
        <w:rPr>
          <w:lang w:val="en-US"/>
        </w:rPr>
      </w:pPr>
    </w:p>
    <w:p w:rsidR="00444025" w:rsidRPr="0056300C" w:rsidRDefault="00444025" w:rsidP="00444025">
      <w:pPr>
        <w:rPr>
          <w:lang w:val="en-US"/>
        </w:rPr>
      </w:pPr>
    </w:p>
    <w:p w:rsidR="00444025" w:rsidRDefault="00444025" w:rsidP="00444025">
      <w:pPr>
        <w:pStyle w:val="Overskrift2"/>
        <w:rPr>
          <w:sz w:val="20"/>
          <w:szCs w:val="20"/>
          <w:lang w:val="en-US"/>
        </w:rPr>
      </w:pPr>
      <w:proofErr w:type="gramStart"/>
      <w:r w:rsidRPr="00697499">
        <w:rPr>
          <w:sz w:val="20"/>
          <w:szCs w:val="20"/>
          <w:lang w:val="en-US"/>
        </w:rPr>
        <w:t>Table 2.</w:t>
      </w:r>
      <w:proofErr w:type="gramEnd"/>
    </w:p>
    <w:p w:rsidR="00444025" w:rsidRPr="00697499" w:rsidRDefault="00444025" w:rsidP="00444025">
      <w:pPr>
        <w:rPr>
          <w:lang w:val="en-US"/>
        </w:rPr>
      </w:pPr>
    </w:p>
    <w:p w:rsidR="00444025" w:rsidRPr="0056300C" w:rsidRDefault="00444025" w:rsidP="00444025">
      <w:pPr>
        <w:rPr>
          <w:lang w:val="en-US"/>
        </w:rPr>
      </w:pPr>
      <w:r w:rsidRPr="005C5474">
        <w:rPr>
          <w:noProof/>
          <w:lang w:eastAsia="nb-NO"/>
        </w:rPr>
        <w:drawing>
          <wp:inline distT="0" distB="0" distL="0" distR="0" wp14:anchorId="15D9D14F" wp14:editId="603F785F">
            <wp:extent cx="5934075" cy="1287286"/>
            <wp:effectExtent l="0" t="0" r="0" b="825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135" cy="1289251"/>
                    </a:xfrm>
                    <a:prstGeom prst="rect">
                      <a:avLst/>
                    </a:prstGeom>
                    <a:noFill/>
                    <a:ln>
                      <a:noFill/>
                    </a:ln>
                  </pic:spPr>
                </pic:pic>
              </a:graphicData>
            </a:graphic>
          </wp:inline>
        </w:drawing>
      </w:r>
    </w:p>
    <w:p w:rsidR="00444025" w:rsidRPr="00D619B6" w:rsidRDefault="00444025" w:rsidP="00444025">
      <w:pPr>
        <w:pStyle w:val="Bildetekst"/>
        <w:keepNext/>
        <w:rPr>
          <w:sz w:val="20"/>
          <w:szCs w:val="20"/>
          <w:lang w:val="en-US"/>
        </w:rPr>
      </w:pPr>
      <w:r w:rsidRPr="00D619B6">
        <w:rPr>
          <w:sz w:val="20"/>
          <w:szCs w:val="20"/>
          <w:lang w:val="en-US"/>
        </w:rPr>
        <w:t xml:space="preserve">Table </w:t>
      </w:r>
      <w:proofErr w:type="gramStart"/>
      <w:r w:rsidRPr="00D619B6">
        <w:rPr>
          <w:sz w:val="20"/>
          <w:szCs w:val="20"/>
          <w:lang w:val="en-US"/>
        </w:rPr>
        <w:t>2 :</w:t>
      </w:r>
      <w:proofErr w:type="gramEnd"/>
      <w:r w:rsidRPr="00D619B6">
        <w:rPr>
          <w:sz w:val="20"/>
          <w:szCs w:val="20"/>
          <w:lang w:val="en-US"/>
        </w:rPr>
        <w:t xml:space="preserve">  Interview response rate by the number of weeks in data collection, </w:t>
      </w:r>
      <w:proofErr w:type="spellStart"/>
      <w:r w:rsidRPr="00D619B6">
        <w:rPr>
          <w:sz w:val="20"/>
          <w:szCs w:val="20"/>
          <w:lang w:val="en-US"/>
        </w:rPr>
        <w:t>paradata</w:t>
      </w:r>
      <w:proofErr w:type="spellEnd"/>
      <w:r w:rsidRPr="00D619B6">
        <w:rPr>
          <w:sz w:val="20"/>
          <w:szCs w:val="20"/>
          <w:lang w:val="en-US"/>
        </w:rPr>
        <w:t xml:space="preserve"> from week 6 - per cent</w:t>
      </w:r>
    </w:p>
    <w:p w:rsidR="00444025" w:rsidRPr="0056300C" w:rsidRDefault="00444025" w:rsidP="00444025">
      <w:pPr>
        <w:rPr>
          <w:lang w:val="en-US"/>
        </w:rPr>
      </w:pPr>
    </w:p>
    <w:p w:rsidR="00444025" w:rsidRPr="0056300C" w:rsidRDefault="00444025" w:rsidP="00444025">
      <w:pPr>
        <w:rPr>
          <w:lang w:val="en-US"/>
        </w:rPr>
      </w:pPr>
    </w:p>
    <w:p w:rsidR="00444025" w:rsidRPr="0056300C" w:rsidRDefault="00444025" w:rsidP="00444025">
      <w:pPr>
        <w:rPr>
          <w:lang w:val="en-US"/>
        </w:rPr>
      </w:pPr>
    </w:p>
    <w:p w:rsidR="00444025" w:rsidRPr="0056300C" w:rsidRDefault="00444025" w:rsidP="00444025">
      <w:pPr>
        <w:rPr>
          <w:lang w:val="en-US"/>
        </w:rPr>
      </w:pPr>
    </w:p>
    <w:p w:rsidR="00444025" w:rsidRPr="0056300C" w:rsidRDefault="00444025" w:rsidP="00444025">
      <w:pPr>
        <w:rPr>
          <w:noProof/>
          <w:lang w:val="en-US" w:eastAsia="nb-NO"/>
        </w:rPr>
      </w:pPr>
    </w:p>
    <w:p w:rsidR="00444025" w:rsidRPr="0056300C" w:rsidRDefault="00444025" w:rsidP="00444025">
      <w:pPr>
        <w:rPr>
          <w:noProof/>
          <w:lang w:val="en-US" w:eastAsia="nb-NO"/>
        </w:rPr>
      </w:pPr>
    </w:p>
    <w:p w:rsidR="00444025" w:rsidRDefault="00444025">
      <w:pPr>
        <w:spacing w:after="200" w:line="276" w:lineRule="auto"/>
        <w:rPr>
          <w:rFonts w:asciiTheme="majorHAnsi" w:eastAsiaTheme="majorEastAsia" w:hAnsiTheme="majorHAnsi" w:cstheme="majorBidi"/>
          <w:b/>
          <w:bCs/>
          <w:noProof/>
          <w:color w:val="4F81BD" w:themeColor="accent1"/>
          <w:sz w:val="20"/>
          <w:szCs w:val="20"/>
          <w:lang w:eastAsia="nb-NO"/>
        </w:rPr>
      </w:pPr>
      <w:r>
        <w:rPr>
          <w:noProof/>
          <w:sz w:val="20"/>
          <w:szCs w:val="20"/>
          <w:lang w:eastAsia="nb-NO"/>
        </w:rPr>
        <w:br w:type="page"/>
      </w:r>
    </w:p>
    <w:p w:rsidR="00444025" w:rsidRDefault="00444025" w:rsidP="00444025">
      <w:pPr>
        <w:pStyle w:val="Overskrift2"/>
        <w:rPr>
          <w:noProof/>
          <w:sz w:val="20"/>
          <w:szCs w:val="20"/>
          <w:lang w:eastAsia="nb-NO"/>
        </w:rPr>
      </w:pPr>
      <w:r w:rsidRPr="00697499">
        <w:rPr>
          <w:noProof/>
          <w:sz w:val="20"/>
          <w:szCs w:val="20"/>
          <w:lang w:eastAsia="nb-NO"/>
        </w:rPr>
        <w:lastRenderedPageBreak/>
        <w:t>Figure 1.</w:t>
      </w:r>
    </w:p>
    <w:p w:rsidR="00444025" w:rsidRPr="00697499" w:rsidRDefault="00444025" w:rsidP="00444025">
      <w:pPr>
        <w:rPr>
          <w:lang w:eastAsia="nb-NO"/>
        </w:rPr>
      </w:pPr>
    </w:p>
    <w:p w:rsidR="00444025" w:rsidRDefault="00444025" w:rsidP="00444025">
      <w:r>
        <w:rPr>
          <w:noProof/>
          <w:lang w:eastAsia="nb-NO"/>
        </w:rPr>
        <w:drawing>
          <wp:inline distT="0" distB="0" distL="0" distR="0" wp14:anchorId="571715E9" wp14:editId="2BB07273">
            <wp:extent cx="5276850" cy="3790950"/>
            <wp:effectExtent l="0" t="0" r="19050" b="19050"/>
            <wp:docPr id="1" name="Diagram 1" title="Interview response rate - week by week"/>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44025" w:rsidRPr="00D619B6" w:rsidRDefault="00444025" w:rsidP="00444025">
      <w:pPr>
        <w:pStyle w:val="Bildetekst"/>
        <w:keepNext/>
        <w:rPr>
          <w:sz w:val="20"/>
          <w:szCs w:val="20"/>
          <w:lang w:val="en-US"/>
        </w:rPr>
      </w:pPr>
      <w:r w:rsidRPr="00D619B6">
        <w:rPr>
          <w:sz w:val="20"/>
          <w:szCs w:val="20"/>
          <w:lang w:val="en-US"/>
        </w:rPr>
        <w:t xml:space="preserve">Figure </w:t>
      </w:r>
      <w:r w:rsidRPr="00D619B6">
        <w:rPr>
          <w:sz w:val="20"/>
          <w:szCs w:val="20"/>
        </w:rPr>
        <w:fldChar w:fldCharType="begin"/>
      </w:r>
      <w:r w:rsidRPr="00D619B6">
        <w:rPr>
          <w:sz w:val="20"/>
          <w:szCs w:val="20"/>
          <w:lang w:val="en-US"/>
        </w:rPr>
        <w:instrText xml:space="preserve"> SEQ Figure \* ARABIC </w:instrText>
      </w:r>
      <w:r w:rsidRPr="00D619B6">
        <w:rPr>
          <w:sz w:val="20"/>
          <w:szCs w:val="20"/>
        </w:rPr>
        <w:fldChar w:fldCharType="separate"/>
      </w:r>
      <w:r w:rsidRPr="00D619B6">
        <w:rPr>
          <w:noProof/>
          <w:sz w:val="20"/>
          <w:szCs w:val="20"/>
          <w:lang w:val="en-US"/>
        </w:rPr>
        <w:t>1</w:t>
      </w:r>
      <w:r w:rsidRPr="00D619B6">
        <w:rPr>
          <w:sz w:val="20"/>
          <w:szCs w:val="20"/>
        </w:rPr>
        <w:fldChar w:fldCharType="end"/>
      </w:r>
      <w:r w:rsidRPr="00D619B6">
        <w:rPr>
          <w:sz w:val="20"/>
          <w:szCs w:val="20"/>
          <w:lang w:val="en-US"/>
        </w:rPr>
        <w:t xml:space="preserve"> : Response rate by group and weeks in data collection – numbers from week 9 of data collection</w:t>
      </w:r>
    </w:p>
    <w:p w:rsidR="00444025" w:rsidRPr="0056300C" w:rsidRDefault="00444025" w:rsidP="00444025">
      <w:pPr>
        <w:rPr>
          <w:lang w:val="en-US"/>
        </w:rPr>
      </w:pPr>
    </w:p>
    <w:p w:rsidR="00444025" w:rsidRPr="0056300C" w:rsidRDefault="00444025" w:rsidP="00444025">
      <w:pPr>
        <w:rPr>
          <w:lang w:val="en-US"/>
        </w:rPr>
      </w:pPr>
    </w:p>
    <w:p w:rsidR="00444025" w:rsidRPr="0056300C" w:rsidRDefault="00444025" w:rsidP="00444025">
      <w:pPr>
        <w:rPr>
          <w:lang w:val="en-US"/>
        </w:rPr>
      </w:pPr>
    </w:p>
    <w:p w:rsidR="00E94FDA" w:rsidRPr="00E94FDA" w:rsidRDefault="00E94FDA" w:rsidP="00580EED">
      <w:pPr>
        <w:rPr>
          <w:lang w:val="en-US"/>
        </w:rPr>
      </w:pPr>
    </w:p>
    <w:sectPr w:rsidR="00E94FDA" w:rsidRPr="00E94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a52vr2zew0aeev2ao5ex0s0vawapxdp2ap&quot;&gt;My EndNote Library&lt;record-ids&gt;&lt;item&gt;1&lt;/item&gt;&lt;item&gt;2&lt;/item&gt;&lt;item&gt;3&lt;/item&gt;&lt;/record-ids&gt;&lt;/item&gt;&lt;/Libraries&gt;"/>
  </w:docVars>
  <w:rsids>
    <w:rsidRoot w:val="005F1DEE"/>
    <w:rsid w:val="000015D8"/>
    <w:rsid w:val="000541F4"/>
    <w:rsid w:val="00084C96"/>
    <w:rsid w:val="00093D76"/>
    <w:rsid w:val="000F32E2"/>
    <w:rsid w:val="000F6B3E"/>
    <w:rsid w:val="001327F2"/>
    <w:rsid w:val="00140AAA"/>
    <w:rsid w:val="00161F7E"/>
    <w:rsid w:val="00193A91"/>
    <w:rsid w:val="00196368"/>
    <w:rsid w:val="001A354B"/>
    <w:rsid w:val="001C1E61"/>
    <w:rsid w:val="001C20E4"/>
    <w:rsid w:val="001C582E"/>
    <w:rsid w:val="001E5E83"/>
    <w:rsid w:val="0020740B"/>
    <w:rsid w:val="00216F32"/>
    <w:rsid w:val="00223DBD"/>
    <w:rsid w:val="00223F53"/>
    <w:rsid w:val="0022689F"/>
    <w:rsid w:val="002477D1"/>
    <w:rsid w:val="002501F3"/>
    <w:rsid w:val="0026672F"/>
    <w:rsid w:val="002760CA"/>
    <w:rsid w:val="002849A0"/>
    <w:rsid w:val="002B7DE8"/>
    <w:rsid w:val="002C387D"/>
    <w:rsid w:val="002C3C2A"/>
    <w:rsid w:val="002D20F2"/>
    <w:rsid w:val="002E5FD9"/>
    <w:rsid w:val="002F2855"/>
    <w:rsid w:val="003177CC"/>
    <w:rsid w:val="00317C9C"/>
    <w:rsid w:val="0032704F"/>
    <w:rsid w:val="00340AA5"/>
    <w:rsid w:val="00340C26"/>
    <w:rsid w:val="00364710"/>
    <w:rsid w:val="0037186C"/>
    <w:rsid w:val="003B0DCA"/>
    <w:rsid w:val="003B0F97"/>
    <w:rsid w:val="003B7C0A"/>
    <w:rsid w:val="003C07F1"/>
    <w:rsid w:val="003E03E8"/>
    <w:rsid w:val="003E41D9"/>
    <w:rsid w:val="00406C15"/>
    <w:rsid w:val="00422F17"/>
    <w:rsid w:val="00444025"/>
    <w:rsid w:val="004565F8"/>
    <w:rsid w:val="004753DE"/>
    <w:rsid w:val="00483100"/>
    <w:rsid w:val="004A6355"/>
    <w:rsid w:val="004C3C83"/>
    <w:rsid w:val="004F4038"/>
    <w:rsid w:val="00503290"/>
    <w:rsid w:val="00514581"/>
    <w:rsid w:val="005218FD"/>
    <w:rsid w:val="00532F35"/>
    <w:rsid w:val="00543EFF"/>
    <w:rsid w:val="0055319F"/>
    <w:rsid w:val="00556B83"/>
    <w:rsid w:val="00563EE5"/>
    <w:rsid w:val="00564EDD"/>
    <w:rsid w:val="00567390"/>
    <w:rsid w:val="0058002F"/>
    <w:rsid w:val="00580EED"/>
    <w:rsid w:val="00596683"/>
    <w:rsid w:val="005F1DEE"/>
    <w:rsid w:val="005F59E9"/>
    <w:rsid w:val="0060013B"/>
    <w:rsid w:val="00645EDA"/>
    <w:rsid w:val="00655C38"/>
    <w:rsid w:val="006619C6"/>
    <w:rsid w:val="00663534"/>
    <w:rsid w:val="006B0C46"/>
    <w:rsid w:val="007029CE"/>
    <w:rsid w:val="00704491"/>
    <w:rsid w:val="00722E6F"/>
    <w:rsid w:val="00723BC9"/>
    <w:rsid w:val="00727F63"/>
    <w:rsid w:val="00737EAB"/>
    <w:rsid w:val="00763943"/>
    <w:rsid w:val="007A27A4"/>
    <w:rsid w:val="007E3232"/>
    <w:rsid w:val="007E33C4"/>
    <w:rsid w:val="007F1FBA"/>
    <w:rsid w:val="00803F69"/>
    <w:rsid w:val="008214DD"/>
    <w:rsid w:val="008352BC"/>
    <w:rsid w:val="00893190"/>
    <w:rsid w:val="008D0E75"/>
    <w:rsid w:val="008F1E5C"/>
    <w:rsid w:val="008F51B0"/>
    <w:rsid w:val="008F6A5C"/>
    <w:rsid w:val="00905F8F"/>
    <w:rsid w:val="00950587"/>
    <w:rsid w:val="009B1A14"/>
    <w:rsid w:val="009D56DA"/>
    <w:rsid w:val="009F5283"/>
    <w:rsid w:val="00A727B3"/>
    <w:rsid w:val="00A96486"/>
    <w:rsid w:val="00AA3A5B"/>
    <w:rsid w:val="00B01FF3"/>
    <w:rsid w:val="00B03F6B"/>
    <w:rsid w:val="00B31F0B"/>
    <w:rsid w:val="00B400A4"/>
    <w:rsid w:val="00B83ABD"/>
    <w:rsid w:val="00B86749"/>
    <w:rsid w:val="00BA19F8"/>
    <w:rsid w:val="00BB1C8C"/>
    <w:rsid w:val="00BF7D17"/>
    <w:rsid w:val="00C102ED"/>
    <w:rsid w:val="00C24BDE"/>
    <w:rsid w:val="00C24F97"/>
    <w:rsid w:val="00C30F92"/>
    <w:rsid w:val="00C3587C"/>
    <w:rsid w:val="00C52D54"/>
    <w:rsid w:val="00C6436E"/>
    <w:rsid w:val="00C86722"/>
    <w:rsid w:val="00C8723A"/>
    <w:rsid w:val="00CC39DD"/>
    <w:rsid w:val="00CC7FBC"/>
    <w:rsid w:val="00CE7ED9"/>
    <w:rsid w:val="00D16A5D"/>
    <w:rsid w:val="00D23892"/>
    <w:rsid w:val="00D24A28"/>
    <w:rsid w:val="00D42FF1"/>
    <w:rsid w:val="00D5116E"/>
    <w:rsid w:val="00D53D2C"/>
    <w:rsid w:val="00D66F39"/>
    <w:rsid w:val="00D848C1"/>
    <w:rsid w:val="00DA35E9"/>
    <w:rsid w:val="00DB6479"/>
    <w:rsid w:val="00DC5EB3"/>
    <w:rsid w:val="00DC66AA"/>
    <w:rsid w:val="00DE379C"/>
    <w:rsid w:val="00DE47D4"/>
    <w:rsid w:val="00DF43DC"/>
    <w:rsid w:val="00DF749C"/>
    <w:rsid w:val="00E13365"/>
    <w:rsid w:val="00E13D97"/>
    <w:rsid w:val="00E34A7B"/>
    <w:rsid w:val="00E94FDA"/>
    <w:rsid w:val="00E965EB"/>
    <w:rsid w:val="00ED342D"/>
    <w:rsid w:val="00F06AB2"/>
    <w:rsid w:val="00F201EC"/>
    <w:rsid w:val="00F321B8"/>
    <w:rsid w:val="00F35E79"/>
    <w:rsid w:val="00F4372C"/>
    <w:rsid w:val="00F74FD9"/>
    <w:rsid w:val="00F77110"/>
    <w:rsid w:val="00FA2CE9"/>
    <w:rsid w:val="00FB6D34"/>
    <w:rsid w:val="00FE1CDF"/>
    <w:rsid w:val="00FE41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DEE"/>
    <w:pPr>
      <w:spacing w:after="0" w:line="240" w:lineRule="auto"/>
    </w:pPr>
    <w:rPr>
      <w:rFonts w:ascii="Calibri" w:eastAsia="Times New Roman" w:hAnsi="Calibri" w:cs="Times New Roman"/>
    </w:rPr>
  </w:style>
  <w:style w:type="paragraph" w:styleId="Overskrift2">
    <w:name w:val="heading 2"/>
    <w:basedOn w:val="Normal"/>
    <w:next w:val="Normal"/>
    <w:link w:val="Overskrift2Tegn"/>
    <w:uiPriority w:val="9"/>
    <w:semiHidden/>
    <w:unhideWhenUsed/>
    <w:qFormat/>
    <w:rsid w:val="005F1DE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5F1DEE"/>
    <w:rPr>
      <w:rFonts w:asciiTheme="majorHAnsi" w:eastAsiaTheme="majorEastAsia" w:hAnsiTheme="majorHAnsi" w:cstheme="majorBidi"/>
      <w:b/>
      <w:bCs/>
      <w:color w:val="4F81BD" w:themeColor="accent1"/>
      <w:sz w:val="26"/>
      <w:szCs w:val="26"/>
    </w:rPr>
  </w:style>
  <w:style w:type="table" w:styleId="Tabellrutenett">
    <w:name w:val="Table Grid"/>
    <w:basedOn w:val="Vanligtabell"/>
    <w:rsid w:val="005F1DEE"/>
    <w:pPr>
      <w:spacing w:after="0" w:line="240" w:lineRule="auto"/>
    </w:pPr>
    <w:rPr>
      <w:rFonts w:ascii="Arial" w:eastAsia="Times New Roman" w:hAnsi="Arial" w:cs="Times New Roman"/>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uiPriority w:val="35"/>
    <w:unhideWhenUsed/>
    <w:qFormat/>
    <w:rsid w:val="007029CE"/>
    <w:pPr>
      <w:spacing w:after="200"/>
    </w:pPr>
    <w:rPr>
      <w:rFonts w:asciiTheme="minorHAnsi" w:eastAsiaTheme="minorHAnsi" w:hAnsiTheme="minorHAnsi" w:cstheme="minorBidi"/>
      <w:b/>
      <w:bCs/>
      <w:color w:val="4F81BD" w:themeColor="accent1"/>
      <w:sz w:val="18"/>
      <w:szCs w:val="18"/>
    </w:rPr>
  </w:style>
  <w:style w:type="paragraph" w:styleId="Bobletekst">
    <w:name w:val="Balloon Text"/>
    <w:basedOn w:val="Normal"/>
    <w:link w:val="BobletekstTegn"/>
    <w:uiPriority w:val="99"/>
    <w:semiHidden/>
    <w:unhideWhenUsed/>
    <w:rsid w:val="007029CE"/>
    <w:rPr>
      <w:rFonts w:ascii="Tahoma" w:hAnsi="Tahoma" w:cs="Tahoma"/>
      <w:sz w:val="16"/>
      <w:szCs w:val="16"/>
    </w:rPr>
  </w:style>
  <w:style w:type="character" w:customStyle="1" w:styleId="BobletekstTegn">
    <w:name w:val="Bobletekst Tegn"/>
    <w:basedOn w:val="Standardskriftforavsnitt"/>
    <w:link w:val="Bobletekst"/>
    <w:uiPriority w:val="99"/>
    <w:semiHidden/>
    <w:rsid w:val="007029CE"/>
    <w:rPr>
      <w:rFonts w:ascii="Tahoma" w:eastAsia="Times New Roman" w:hAnsi="Tahoma" w:cs="Tahoma"/>
      <w:sz w:val="16"/>
      <w:szCs w:val="16"/>
    </w:rPr>
  </w:style>
  <w:style w:type="paragraph" w:styleId="Sterktsitat">
    <w:name w:val="Intense Quote"/>
    <w:basedOn w:val="Normal"/>
    <w:next w:val="Normal"/>
    <w:link w:val="SterktsitatTegn"/>
    <w:uiPriority w:val="30"/>
    <w:qFormat/>
    <w:rsid w:val="0060013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60013B"/>
    <w:rPr>
      <w:rFonts w:ascii="Calibri" w:eastAsia="Times New Roman" w:hAnsi="Calibri" w:cs="Times New Roman"/>
      <w:b/>
      <w:bCs/>
      <w:i/>
      <w:iCs/>
      <w:color w:val="4F81BD" w:themeColor="accent1"/>
    </w:rPr>
  </w:style>
  <w:style w:type="character" w:styleId="Merknadsreferanse">
    <w:name w:val="annotation reference"/>
    <w:basedOn w:val="Standardskriftforavsnitt"/>
    <w:uiPriority w:val="99"/>
    <w:semiHidden/>
    <w:unhideWhenUsed/>
    <w:rsid w:val="00DB6479"/>
    <w:rPr>
      <w:sz w:val="16"/>
      <w:szCs w:val="16"/>
    </w:rPr>
  </w:style>
  <w:style w:type="paragraph" w:styleId="Merknadstekst">
    <w:name w:val="annotation text"/>
    <w:basedOn w:val="Normal"/>
    <w:link w:val="MerknadstekstTegn"/>
    <w:uiPriority w:val="99"/>
    <w:semiHidden/>
    <w:unhideWhenUsed/>
    <w:rsid w:val="00DB6479"/>
    <w:rPr>
      <w:sz w:val="20"/>
      <w:szCs w:val="20"/>
    </w:rPr>
  </w:style>
  <w:style w:type="character" w:customStyle="1" w:styleId="MerknadstekstTegn">
    <w:name w:val="Merknadstekst Tegn"/>
    <w:basedOn w:val="Standardskriftforavsnitt"/>
    <w:link w:val="Merknadstekst"/>
    <w:uiPriority w:val="99"/>
    <w:semiHidden/>
    <w:rsid w:val="00DB6479"/>
    <w:rPr>
      <w:rFonts w:ascii="Calibri" w:eastAsia="Times New Roman" w:hAnsi="Calibri" w:cs="Times New Roman"/>
      <w:sz w:val="20"/>
      <w:szCs w:val="20"/>
    </w:rPr>
  </w:style>
  <w:style w:type="paragraph" w:styleId="Kommentaremne">
    <w:name w:val="annotation subject"/>
    <w:basedOn w:val="Merknadstekst"/>
    <w:next w:val="Merknadstekst"/>
    <w:link w:val="KommentaremneTegn"/>
    <w:uiPriority w:val="99"/>
    <w:semiHidden/>
    <w:unhideWhenUsed/>
    <w:rsid w:val="00DB6479"/>
    <w:rPr>
      <w:b/>
      <w:bCs/>
    </w:rPr>
  </w:style>
  <w:style w:type="character" w:customStyle="1" w:styleId="KommentaremneTegn">
    <w:name w:val="Kommentaremne Tegn"/>
    <w:basedOn w:val="MerknadstekstTegn"/>
    <w:link w:val="Kommentaremne"/>
    <w:uiPriority w:val="99"/>
    <w:semiHidden/>
    <w:rsid w:val="00DB6479"/>
    <w:rPr>
      <w:rFonts w:ascii="Calibri" w:eastAsia="Times New Roman" w:hAnsi="Calibri" w:cs="Times New Roman"/>
      <w:b/>
      <w:bCs/>
      <w:sz w:val="20"/>
      <w:szCs w:val="20"/>
    </w:rPr>
  </w:style>
  <w:style w:type="paragraph" w:customStyle="1" w:styleId="EndNoteBibliographyTitle">
    <w:name w:val="EndNote Bibliography Title"/>
    <w:basedOn w:val="Normal"/>
    <w:link w:val="EndNoteBibliographyTitleTegn"/>
    <w:rsid w:val="00223DBD"/>
    <w:pPr>
      <w:jc w:val="center"/>
    </w:pPr>
    <w:rPr>
      <w:noProof/>
      <w:lang w:val="en-US"/>
    </w:rPr>
  </w:style>
  <w:style w:type="character" w:customStyle="1" w:styleId="EndNoteBibliographyTitleTegn">
    <w:name w:val="EndNote Bibliography Title Tegn"/>
    <w:basedOn w:val="Standardskriftforavsnitt"/>
    <w:link w:val="EndNoteBibliographyTitle"/>
    <w:rsid w:val="00223DBD"/>
    <w:rPr>
      <w:rFonts w:ascii="Calibri" w:eastAsia="Times New Roman" w:hAnsi="Calibri" w:cs="Times New Roman"/>
      <w:noProof/>
      <w:lang w:val="en-US"/>
    </w:rPr>
  </w:style>
  <w:style w:type="paragraph" w:customStyle="1" w:styleId="EndNoteBibliography">
    <w:name w:val="EndNote Bibliography"/>
    <w:basedOn w:val="Normal"/>
    <w:link w:val="EndNoteBibliographyTegn"/>
    <w:rsid w:val="00223DBD"/>
    <w:rPr>
      <w:noProof/>
      <w:lang w:val="en-US"/>
    </w:rPr>
  </w:style>
  <w:style w:type="character" w:customStyle="1" w:styleId="EndNoteBibliographyTegn">
    <w:name w:val="EndNote Bibliography Tegn"/>
    <w:basedOn w:val="Standardskriftforavsnitt"/>
    <w:link w:val="EndNoteBibliography"/>
    <w:rsid w:val="00223DBD"/>
    <w:rPr>
      <w:rFonts w:ascii="Calibri" w:eastAsia="Times New Roman" w:hAnsi="Calibri" w:cs="Times New Roman"/>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DEE"/>
    <w:pPr>
      <w:spacing w:after="0" w:line="240" w:lineRule="auto"/>
    </w:pPr>
    <w:rPr>
      <w:rFonts w:ascii="Calibri" w:eastAsia="Times New Roman" w:hAnsi="Calibri" w:cs="Times New Roman"/>
    </w:rPr>
  </w:style>
  <w:style w:type="paragraph" w:styleId="Overskrift2">
    <w:name w:val="heading 2"/>
    <w:basedOn w:val="Normal"/>
    <w:next w:val="Normal"/>
    <w:link w:val="Overskrift2Tegn"/>
    <w:uiPriority w:val="9"/>
    <w:semiHidden/>
    <w:unhideWhenUsed/>
    <w:qFormat/>
    <w:rsid w:val="005F1DE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5F1DEE"/>
    <w:rPr>
      <w:rFonts w:asciiTheme="majorHAnsi" w:eastAsiaTheme="majorEastAsia" w:hAnsiTheme="majorHAnsi" w:cstheme="majorBidi"/>
      <w:b/>
      <w:bCs/>
      <w:color w:val="4F81BD" w:themeColor="accent1"/>
      <w:sz w:val="26"/>
      <w:szCs w:val="26"/>
    </w:rPr>
  </w:style>
  <w:style w:type="table" w:styleId="Tabellrutenett">
    <w:name w:val="Table Grid"/>
    <w:basedOn w:val="Vanligtabell"/>
    <w:rsid w:val="005F1DEE"/>
    <w:pPr>
      <w:spacing w:after="0" w:line="240" w:lineRule="auto"/>
    </w:pPr>
    <w:rPr>
      <w:rFonts w:ascii="Arial" w:eastAsia="Times New Roman" w:hAnsi="Arial" w:cs="Times New Roman"/>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uiPriority w:val="35"/>
    <w:unhideWhenUsed/>
    <w:qFormat/>
    <w:rsid w:val="007029CE"/>
    <w:pPr>
      <w:spacing w:after="200"/>
    </w:pPr>
    <w:rPr>
      <w:rFonts w:asciiTheme="minorHAnsi" w:eastAsiaTheme="minorHAnsi" w:hAnsiTheme="minorHAnsi" w:cstheme="minorBidi"/>
      <w:b/>
      <w:bCs/>
      <w:color w:val="4F81BD" w:themeColor="accent1"/>
      <w:sz w:val="18"/>
      <w:szCs w:val="18"/>
    </w:rPr>
  </w:style>
  <w:style w:type="paragraph" w:styleId="Bobletekst">
    <w:name w:val="Balloon Text"/>
    <w:basedOn w:val="Normal"/>
    <w:link w:val="BobletekstTegn"/>
    <w:uiPriority w:val="99"/>
    <w:semiHidden/>
    <w:unhideWhenUsed/>
    <w:rsid w:val="007029CE"/>
    <w:rPr>
      <w:rFonts w:ascii="Tahoma" w:hAnsi="Tahoma" w:cs="Tahoma"/>
      <w:sz w:val="16"/>
      <w:szCs w:val="16"/>
    </w:rPr>
  </w:style>
  <w:style w:type="character" w:customStyle="1" w:styleId="BobletekstTegn">
    <w:name w:val="Bobletekst Tegn"/>
    <w:basedOn w:val="Standardskriftforavsnitt"/>
    <w:link w:val="Bobletekst"/>
    <w:uiPriority w:val="99"/>
    <w:semiHidden/>
    <w:rsid w:val="007029CE"/>
    <w:rPr>
      <w:rFonts w:ascii="Tahoma" w:eastAsia="Times New Roman" w:hAnsi="Tahoma" w:cs="Tahoma"/>
      <w:sz w:val="16"/>
      <w:szCs w:val="16"/>
    </w:rPr>
  </w:style>
  <w:style w:type="paragraph" w:styleId="Sterktsitat">
    <w:name w:val="Intense Quote"/>
    <w:basedOn w:val="Normal"/>
    <w:next w:val="Normal"/>
    <w:link w:val="SterktsitatTegn"/>
    <w:uiPriority w:val="30"/>
    <w:qFormat/>
    <w:rsid w:val="0060013B"/>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60013B"/>
    <w:rPr>
      <w:rFonts w:ascii="Calibri" w:eastAsia="Times New Roman" w:hAnsi="Calibri" w:cs="Times New Roman"/>
      <w:b/>
      <w:bCs/>
      <w:i/>
      <w:iCs/>
      <w:color w:val="4F81BD" w:themeColor="accent1"/>
    </w:rPr>
  </w:style>
  <w:style w:type="character" w:styleId="Merknadsreferanse">
    <w:name w:val="annotation reference"/>
    <w:basedOn w:val="Standardskriftforavsnitt"/>
    <w:uiPriority w:val="99"/>
    <w:semiHidden/>
    <w:unhideWhenUsed/>
    <w:rsid w:val="00DB6479"/>
    <w:rPr>
      <w:sz w:val="16"/>
      <w:szCs w:val="16"/>
    </w:rPr>
  </w:style>
  <w:style w:type="paragraph" w:styleId="Merknadstekst">
    <w:name w:val="annotation text"/>
    <w:basedOn w:val="Normal"/>
    <w:link w:val="MerknadstekstTegn"/>
    <w:uiPriority w:val="99"/>
    <w:semiHidden/>
    <w:unhideWhenUsed/>
    <w:rsid w:val="00DB6479"/>
    <w:rPr>
      <w:sz w:val="20"/>
      <w:szCs w:val="20"/>
    </w:rPr>
  </w:style>
  <w:style w:type="character" w:customStyle="1" w:styleId="MerknadstekstTegn">
    <w:name w:val="Merknadstekst Tegn"/>
    <w:basedOn w:val="Standardskriftforavsnitt"/>
    <w:link w:val="Merknadstekst"/>
    <w:uiPriority w:val="99"/>
    <w:semiHidden/>
    <w:rsid w:val="00DB6479"/>
    <w:rPr>
      <w:rFonts w:ascii="Calibri" w:eastAsia="Times New Roman" w:hAnsi="Calibri" w:cs="Times New Roman"/>
      <w:sz w:val="20"/>
      <w:szCs w:val="20"/>
    </w:rPr>
  </w:style>
  <w:style w:type="paragraph" w:styleId="Kommentaremne">
    <w:name w:val="annotation subject"/>
    <w:basedOn w:val="Merknadstekst"/>
    <w:next w:val="Merknadstekst"/>
    <w:link w:val="KommentaremneTegn"/>
    <w:uiPriority w:val="99"/>
    <w:semiHidden/>
    <w:unhideWhenUsed/>
    <w:rsid w:val="00DB6479"/>
    <w:rPr>
      <w:b/>
      <w:bCs/>
    </w:rPr>
  </w:style>
  <w:style w:type="character" w:customStyle="1" w:styleId="KommentaremneTegn">
    <w:name w:val="Kommentaremne Tegn"/>
    <w:basedOn w:val="MerknadstekstTegn"/>
    <w:link w:val="Kommentaremne"/>
    <w:uiPriority w:val="99"/>
    <w:semiHidden/>
    <w:rsid w:val="00DB6479"/>
    <w:rPr>
      <w:rFonts w:ascii="Calibri" w:eastAsia="Times New Roman" w:hAnsi="Calibri" w:cs="Times New Roman"/>
      <w:b/>
      <w:bCs/>
      <w:sz w:val="20"/>
      <w:szCs w:val="20"/>
    </w:rPr>
  </w:style>
  <w:style w:type="paragraph" w:customStyle="1" w:styleId="EndNoteBibliographyTitle">
    <w:name w:val="EndNote Bibliography Title"/>
    <w:basedOn w:val="Normal"/>
    <w:link w:val="EndNoteBibliographyTitleTegn"/>
    <w:rsid w:val="00223DBD"/>
    <w:pPr>
      <w:jc w:val="center"/>
    </w:pPr>
    <w:rPr>
      <w:noProof/>
      <w:lang w:val="en-US"/>
    </w:rPr>
  </w:style>
  <w:style w:type="character" w:customStyle="1" w:styleId="EndNoteBibliographyTitleTegn">
    <w:name w:val="EndNote Bibliography Title Tegn"/>
    <w:basedOn w:val="Standardskriftforavsnitt"/>
    <w:link w:val="EndNoteBibliographyTitle"/>
    <w:rsid w:val="00223DBD"/>
    <w:rPr>
      <w:rFonts w:ascii="Calibri" w:eastAsia="Times New Roman" w:hAnsi="Calibri" w:cs="Times New Roman"/>
      <w:noProof/>
      <w:lang w:val="en-US"/>
    </w:rPr>
  </w:style>
  <w:style w:type="paragraph" w:customStyle="1" w:styleId="EndNoteBibliography">
    <w:name w:val="EndNote Bibliography"/>
    <w:basedOn w:val="Normal"/>
    <w:link w:val="EndNoteBibliographyTegn"/>
    <w:rsid w:val="00223DBD"/>
    <w:rPr>
      <w:noProof/>
      <w:lang w:val="en-US"/>
    </w:rPr>
  </w:style>
  <w:style w:type="character" w:customStyle="1" w:styleId="EndNoteBibliographyTegn">
    <w:name w:val="EndNote Bibliography Tegn"/>
    <w:basedOn w:val="Standardskriftforavsnitt"/>
    <w:link w:val="EndNoteBibliography"/>
    <w:rsid w:val="00223DBD"/>
    <w:rPr>
      <w:rFonts w:ascii="Calibri" w:eastAsia="Times New Roman" w:hAnsi="Calibri" w:cs="Times New Roman"/>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7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regneark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368285214348208"/>
          <c:y val="5.1400554097404488E-2"/>
          <c:w val="0.64958027121609796"/>
          <c:h val="0.8326195683872849"/>
        </c:manualLayout>
      </c:layout>
      <c:lineChart>
        <c:grouping val="standard"/>
        <c:varyColors val="0"/>
        <c:ser>
          <c:idx val="2"/>
          <c:order val="0"/>
          <c:tx>
            <c:v>Group 3</c:v>
          </c:tx>
          <c:val>
            <c:numRef>
              <c:f>'H:\EHIS\EHIS\[ehis-antall oppringninger uten ringegrupper - Kopi.xlsx]Tabeller'!$E$50:$E$57</c:f>
              <c:numCache>
                <c:formatCode>General</c:formatCode>
                <c:ptCount val="8"/>
                <c:pt idx="0">
                  <c:v>0.25176470588235295</c:v>
                </c:pt>
                <c:pt idx="1">
                  <c:v>8.9411764705882357E-2</c:v>
                </c:pt>
                <c:pt idx="2">
                  <c:v>7.0588235294117646E-2</c:v>
                </c:pt>
                <c:pt idx="3">
                  <c:v>5.647058823529412E-2</c:v>
                </c:pt>
                <c:pt idx="4">
                  <c:v>2.3529411764705882E-2</c:v>
                </c:pt>
                <c:pt idx="5">
                  <c:v>1.8823529411764704E-2</c:v>
                </c:pt>
                <c:pt idx="6">
                  <c:v>1.8823529411764704E-2</c:v>
                </c:pt>
                <c:pt idx="7">
                  <c:v>9.4117647058823521E-3</c:v>
                </c:pt>
              </c:numCache>
            </c:numRef>
          </c:val>
          <c:smooth val="0"/>
        </c:ser>
        <c:ser>
          <c:idx val="3"/>
          <c:order val="1"/>
          <c:tx>
            <c:v>Group 4</c:v>
          </c:tx>
          <c:val>
            <c:numRef>
              <c:f>'H:\EHIS\EHIS\[ehis-antall oppringninger uten ringegrupper - Kopi.xlsx]Tabeller'!$F$50:$F$57</c:f>
              <c:numCache>
                <c:formatCode>General</c:formatCode>
                <c:ptCount val="8"/>
                <c:pt idx="0">
                  <c:v>0.22823529411764706</c:v>
                </c:pt>
                <c:pt idx="1">
                  <c:v>0.13882352941176471</c:v>
                </c:pt>
                <c:pt idx="2">
                  <c:v>4.2352941176470586E-2</c:v>
                </c:pt>
                <c:pt idx="3">
                  <c:v>4.9411764705882349E-2</c:v>
                </c:pt>
                <c:pt idx="4">
                  <c:v>1.8823529411764704E-2</c:v>
                </c:pt>
                <c:pt idx="5">
                  <c:v>9.4117647058823521E-3</c:v>
                </c:pt>
                <c:pt idx="6">
                  <c:v>1.6470588235294119E-2</c:v>
                </c:pt>
                <c:pt idx="7">
                  <c:v>1.411764705882353E-2</c:v>
                </c:pt>
              </c:numCache>
            </c:numRef>
          </c:val>
          <c:smooth val="0"/>
        </c:ser>
        <c:ser>
          <c:idx val="4"/>
          <c:order val="2"/>
          <c:tx>
            <c:v>Group 5</c:v>
          </c:tx>
          <c:val>
            <c:numRef>
              <c:f>'H:\EHIS\EHIS\[ehis-antall oppringninger uten ringegrupper - Kopi.xlsx]Tabeller'!$G$51:$G$57</c:f>
              <c:numCache>
                <c:formatCode>General</c:formatCode>
                <c:ptCount val="7"/>
                <c:pt idx="0">
                  <c:v>0.2752941176470588</c:v>
                </c:pt>
                <c:pt idx="1">
                  <c:v>0.08</c:v>
                </c:pt>
                <c:pt idx="2">
                  <c:v>5.647058823529412E-2</c:v>
                </c:pt>
                <c:pt idx="3">
                  <c:v>1.411764705882353E-2</c:v>
                </c:pt>
                <c:pt idx="4">
                  <c:v>1.1764705882352941E-2</c:v>
                </c:pt>
                <c:pt idx="5">
                  <c:v>9.4117647058823521E-3</c:v>
                </c:pt>
                <c:pt idx="6">
                  <c:v>0</c:v>
                </c:pt>
              </c:numCache>
            </c:numRef>
          </c:val>
          <c:smooth val="0"/>
        </c:ser>
        <c:ser>
          <c:idx val="5"/>
          <c:order val="3"/>
          <c:tx>
            <c:v>Group 6</c:v>
          </c:tx>
          <c:val>
            <c:numRef>
              <c:f>'H:\EHIS\EHIS\[ehis-antall oppringninger uten ringegrupper - Kopi.xlsx]Tabeller'!$H$51:$H$57</c:f>
              <c:numCache>
                <c:formatCode>General</c:formatCode>
                <c:ptCount val="7"/>
                <c:pt idx="0">
                  <c:v>0.21647058823529411</c:v>
                </c:pt>
                <c:pt idx="1">
                  <c:v>0.11764705882352941</c:v>
                </c:pt>
                <c:pt idx="2">
                  <c:v>6.1176470588235297E-2</c:v>
                </c:pt>
                <c:pt idx="3">
                  <c:v>2.823529411764706E-2</c:v>
                </c:pt>
                <c:pt idx="4">
                  <c:v>1.6470588235294119E-2</c:v>
                </c:pt>
                <c:pt idx="5">
                  <c:v>1.1764705882352941E-2</c:v>
                </c:pt>
                <c:pt idx="6">
                  <c:v>2.352941176470588E-3</c:v>
                </c:pt>
              </c:numCache>
            </c:numRef>
          </c:val>
          <c:smooth val="0"/>
        </c:ser>
        <c:ser>
          <c:idx val="6"/>
          <c:order val="4"/>
          <c:tx>
            <c:v>Group 7</c:v>
          </c:tx>
          <c:val>
            <c:numRef>
              <c:f>'H:\EHIS\EHIS\[ehis-antall oppringninger uten ringegrupper - Kopi.xlsx]Tabeller'!$I$52:$I$57</c:f>
              <c:numCache>
                <c:formatCode>General</c:formatCode>
                <c:ptCount val="6"/>
                <c:pt idx="0">
                  <c:v>0.3952941176470588</c:v>
                </c:pt>
                <c:pt idx="1">
                  <c:v>0.12705882352941175</c:v>
                </c:pt>
                <c:pt idx="2">
                  <c:v>3.2941176470588238E-2</c:v>
                </c:pt>
                <c:pt idx="3">
                  <c:v>1.8823529411764704E-2</c:v>
                </c:pt>
                <c:pt idx="4">
                  <c:v>1.8823529411764704E-2</c:v>
                </c:pt>
                <c:pt idx="5">
                  <c:v>4.7058823529411761E-3</c:v>
                </c:pt>
              </c:numCache>
            </c:numRef>
          </c:val>
          <c:smooth val="0"/>
        </c:ser>
        <c:ser>
          <c:idx val="8"/>
          <c:order val="5"/>
          <c:tx>
            <c:v>Group 9</c:v>
          </c:tx>
          <c:val>
            <c:numRef>
              <c:f>'H:\EHIS\EHIS\[ehis-antall oppringninger uten ringegrupper - Kopi.xlsx]Tabeller'!$K$53:$K$57</c:f>
              <c:numCache>
                <c:formatCode>General</c:formatCode>
                <c:ptCount val="5"/>
                <c:pt idx="0">
                  <c:v>0.32470588235294118</c:v>
                </c:pt>
                <c:pt idx="1">
                  <c:v>0.11058823529411765</c:v>
                </c:pt>
                <c:pt idx="2">
                  <c:v>3.0588235294117649E-2</c:v>
                </c:pt>
                <c:pt idx="3">
                  <c:v>1.1764705882352941E-2</c:v>
                </c:pt>
                <c:pt idx="4">
                  <c:v>0</c:v>
                </c:pt>
              </c:numCache>
            </c:numRef>
          </c:val>
          <c:smooth val="0"/>
        </c:ser>
        <c:ser>
          <c:idx val="9"/>
          <c:order val="6"/>
          <c:tx>
            <c:v>Group 10</c:v>
          </c:tx>
          <c:val>
            <c:numRef>
              <c:f>'H:\EHIS\EHIS\[ehis-antall oppringninger uten ringegrupper - Kopi.xlsx]Tabeller'!$L$53:$L$57</c:f>
              <c:numCache>
                <c:formatCode>General</c:formatCode>
                <c:ptCount val="5"/>
                <c:pt idx="0">
                  <c:v>0.25882352941176473</c:v>
                </c:pt>
                <c:pt idx="1">
                  <c:v>0.16941176470588235</c:v>
                </c:pt>
                <c:pt idx="2">
                  <c:v>4.2352941176470586E-2</c:v>
                </c:pt>
                <c:pt idx="3">
                  <c:v>1.411764705882353E-2</c:v>
                </c:pt>
                <c:pt idx="4">
                  <c:v>4.7058823529411761E-3</c:v>
                </c:pt>
              </c:numCache>
            </c:numRef>
          </c:val>
          <c:smooth val="0"/>
        </c:ser>
        <c:dLbls>
          <c:showLegendKey val="0"/>
          <c:showVal val="0"/>
          <c:showCatName val="0"/>
          <c:showSerName val="0"/>
          <c:showPercent val="0"/>
          <c:showBubbleSize val="0"/>
        </c:dLbls>
        <c:marker val="1"/>
        <c:smooth val="0"/>
        <c:axId val="54343168"/>
        <c:axId val="54344704"/>
      </c:lineChart>
      <c:catAx>
        <c:axId val="54343168"/>
        <c:scaling>
          <c:orientation val="minMax"/>
        </c:scaling>
        <c:delete val="0"/>
        <c:axPos val="b"/>
        <c:majorTickMark val="out"/>
        <c:minorTickMark val="none"/>
        <c:tickLblPos val="nextTo"/>
        <c:crossAx val="54344704"/>
        <c:crosses val="autoZero"/>
        <c:auto val="1"/>
        <c:lblAlgn val="ctr"/>
        <c:lblOffset val="100"/>
        <c:noMultiLvlLbl val="0"/>
      </c:catAx>
      <c:valAx>
        <c:axId val="54344704"/>
        <c:scaling>
          <c:orientation val="minMax"/>
        </c:scaling>
        <c:delete val="0"/>
        <c:axPos val="l"/>
        <c:majorGridlines/>
        <c:numFmt formatCode="General" sourceLinked="1"/>
        <c:majorTickMark val="out"/>
        <c:minorTickMark val="none"/>
        <c:tickLblPos val="nextTo"/>
        <c:crossAx val="54343168"/>
        <c:crosses val="autoZero"/>
        <c:crossBetween val="between"/>
      </c:valAx>
    </c:plotArea>
    <c:legend>
      <c:legendPos val="r"/>
      <c:layout>
        <c:manualLayout>
          <c:xMode val="edge"/>
          <c:yMode val="edge"/>
          <c:x val="0.83060240963855425"/>
          <c:y val="0.24794515665830866"/>
          <c:w val="0.15734939759036146"/>
          <c:h val="0.49826918809918802"/>
        </c:manualLayout>
      </c:layout>
      <c:overlay val="0"/>
    </c:legend>
    <c:plotVisOnly val="1"/>
    <c:dispBlanksAs val="gap"/>
    <c:showDLblsOverMax val="0"/>
  </c:chart>
  <c:txPr>
    <a:bodyPr/>
    <a:lstStyle/>
    <a:p>
      <a:pPr>
        <a:defRPr baseline="0"/>
      </a:pPr>
      <a:endParaRPr lang="nb-NO"/>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0.24298</cdr:x>
      <cdr:y>0.13936</cdr:y>
    </cdr:from>
    <cdr:to>
      <cdr:x>0.76381</cdr:x>
      <cdr:y>0.32764</cdr:y>
    </cdr:to>
    <cdr:sp macro="" textlink="">
      <cdr:nvSpPr>
        <cdr:cNvPr id="2" name="TekstSylinder 1"/>
        <cdr:cNvSpPr txBox="1"/>
      </cdr:nvSpPr>
      <cdr:spPr>
        <a:xfrm xmlns:a="http://schemas.openxmlformats.org/drawingml/2006/main">
          <a:off x="1536751" y="606093"/>
          <a:ext cx="3294042" cy="8188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nb-NO" sz="2000" b="1" baseline="0"/>
            <a:t>Interview response rate - week by week</a:t>
          </a:r>
        </a:p>
      </cdr:txBody>
    </cdr:sp>
  </cdr:relSizeAnchor>
  <cdr:relSizeAnchor xmlns:cdr="http://schemas.openxmlformats.org/drawingml/2006/chartDrawing">
    <cdr:from>
      <cdr:x>0.24298</cdr:x>
      <cdr:y>0.13936</cdr:y>
    </cdr:from>
    <cdr:to>
      <cdr:x>0.76381</cdr:x>
      <cdr:y>0.32764</cdr:y>
    </cdr:to>
    <cdr:sp macro="" textlink="">
      <cdr:nvSpPr>
        <cdr:cNvPr id="3" name="TekstSylinder 1"/>
        <cdr:cNvSpPr txBox="1"/>
      </cdr:nvSpPr>
      <cdr:spPr>
        <a:xfrm xmlns:a="http://schemas.openxmlformats.org/drawingml/2006/main">
          <a:off x="1536751" y="606093"/>
          <a:ext cx="3294042" cy="8188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nb-NO" sz="2000" b="1" baseline="0"/>
            <a:t>Interview response rate - week by week</a:t>
          </a:r>
        </a:p>
      </cdr:txBody>
    </cdr:sp>
  </cdr:relSizeAnchor>
  <cdr:relSizeAnchor xmlns:cdr="http://schemas.openxmlformats.org/drawingml/2006/chartDrawing">
    <cdr:from>
      <cdr:x>0.28916</cdr:x>
      <cdr:y>0.93561</cdr:y>
    </cdr:from>
    <cdr:to>
      <cdr:x>0.57108</cdr:x>
      <cdr:y>0.98467</cdr:y>
    </cdr:to>
    <cdr:sp macro="" textlink="">
      <cdr:nvSpPr>
        <cdr:cNvPr id="4" name="TekstSylinder 3"/>
        <cdr:cNvSpPr txBox="1"/>
      </cdr:nvSpPr>
      <cdr:spPr>
        <a:xfrm xmlns:a="http://schemas.openxmlformats.org/drawingml/2006/main">
          <a:off x="1828800" y="4069080"/>
          <a:ext cx="1783080" cy="2133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nb-NO" sz="1100"/>
            <a:t>Weeks in data collection</a:t>
          </a:r>
        </a:p>
      </cdr:txBody>
    </cdr:sp>
  </cdr:relSizeAnchor>
</c:userShape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SB">
    <a:dk1>
      <a:sysClr val="windowText" lastClr="000000"/>
    </a:dk1>
    <a:lt1>
      <a:sysClr val="window" lastClr="FFFFFF"/>
    </a:lt1>
    <a:dk2>
      <a:srgbClr val="000000"/>
    </a:dk2>
    <a:lt2>
      <a:srgbClr val="FFFFFF"/>
    </a:lt2>
    <a:accent1>
      <a:srgbClr val="3E8601"/>
    </a:accent1>
    <a:accent2>
      <a:srgbClr val="6A0788"/>
    </a:accent2>
    <a:accent3>
      <a:srgbClr val="EBB41F"/>
    </a:accent3>
    <a:accent4>
      <a:srgbClr val="0774D0"/>
    </a:accent4>
    <a:accent5>
      <a:srgbClr val="EB7824"/>
    </a:accent5>
    <a:accent6>
      <a:srgbClr val="7F7F7F"/>
    </a:accent6>
    <a:hlink>
      <a:srgbClr val="003892"/>
    </a:hlink>
    <a:folHlink>
      <a:srgbClr val="A53D7C"/>
    </a:folHlink>
  </a:clrScheme>
  <a:fontScheme name="SSB PP">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1028A-0546-435B-83DA-5483DDE56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3584</Words>
  <Characters>18999</Characters>
  <Application>Microsoft Office Word</Application>
  <DocSecurity>0</DocSecurity>
  <Lines>158</Lines>
  <Paragraphs>45</Paragraphs>
  <ScaleCrop>false</ScaleCrop>
  <HeadingPairs>
    <vt:vector size="2" baseType="variant">
      <vt:variant>
        <vt:lpstr>Tittel</vt:lpstr>
      </vt:variant>
      <vt:variant>
        <vt:i4>1</vt:i4>
      </vt:variant>
    </vt:vector>
  </HeadingPairs>
  <TitlesOfParts>
    <vt:vector size="1" baseType="lpstr">
      <vt:lpstr/>
    </vt:vector>
  </TitlesOfParts>
  <Company>SSB</Company>
  <LinksUpToDate>false</LinksUpToDate>
  <CharactersWithSpaces>22538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Andersen, Lise</dc:creator>
  <cp:lastModifiedBy>Jensen, Cato Hernes</cp:lastModifiedBy>
  <cp:revision>2</cp:revision>
  <dcterms:created xsi:type="dcterms:W3CDTF">2016-08-23T10:08:00Z</dcterms:created>
  <dcterms:modified xsi:type="dcterms:W3CDTF">2016-08-23T10:08:00Z</dcterms:modified>
</cp:coreProperties>
</file>