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847" w:rsidRPr="00783798" w:rsidRDefault="00E51847" w:rsidP="006642F3">
      <w:pPr>
        <w:jc w:val="both"/>
        <w:rPr>
          <w:rFonts w:cs="Times New Roman"/>
          <w:b/>
          <w:sz w:val="28"/>
          <w:szCs w:val="28"/>
        </w:rPr>
      </w:pPr>
      <w:r w:rsidRPr="00783798">
        <w:rPr>
          <w:rFonts w:cs="Times New Roman"/>
          <w:b/>
          <w:sz w:val="28"/>
          <w:szCs w:val="28"/>
        </w:rPr>
        <w:t>LEGAL AND ETHICAL ISSUES WHEN COLLECTING AND USING INFORMATION ON NON-RESPONDENTS</w:t>
      </w:r>
    </w:p>
    <w:p w:rsidR="001E190C" w:rsidRPr="00783798" w:rsidRDefault="00783798" w:rsidP="00783798">
      <w:pPr>
        <w:jc w:val="right"/>
        <w:rPr>
          <w:rFonts w:cs="Times New Roman"/>
          <w:sz w:val="18"/>
          <w:szCs w:val="18"/>
        </w:rPr>
      </w:pPr>
      <w:r w:rsidRPr="00783798">
        <w:rPr>
          <w:rFonts w:cs="Times New Roman"/>
          <w:sz w:val="18"/>
          <w:szCs w:val="18"/>
        </w:rPr>
        <w:t>Linn-</w:t>
      </w:r>
      <w:proofErr w:type="spellStart"/>
      <w:r w:rsidRPr="00783798">
        <w:rPr>
          <w:rFonts w:cs="Times New Roman"/>
          <w:sz w:val="18"/>
          <w:szCs w:val="18"/>
        </w:rPr>
        <w:t>Merethe</w:t>
      </w:r>
      <w:proofErr w:type="spellEnd"/>
      <w:r w:rsidRPr="00783798">
        <w:rPr>
          <w:rFonts w:cs="Times New Roman"/>
          <w:sz w:val="18"/>
          <w:szCs w:val="18"/>
        </w:rPr>
        <w:t xml:space="preserve"> </w:t>
      </w:r>
      <w:proofErr w:type="spellStart"/>
      <w:r w:rsidRPr="00783798">
        <w:rPr>
          <w:rFonts w:cs="Times New Roman"/>
          <w:sz w:val="18"/>
          <w:szCs w:val="18"/>
        </w:rPr>
        <w:t>Rød</w:t>
      </w:r>
      <w:proofErr w:type="spellEnd"/>
      <w:r w:rsidRPr="00783798">
        <w:rPr>
          <w:rFonts w:cs="Times New Roman"/>
          <w:sz w:val="18"/>
          <w:szCs w:val="18"/>
        </w:rPr>
        <w:t>, NSD – Norwegian Centre for Research Data</w:t>
      </w:r>
    </w:p>
    <w:p w:rsidR="007616A0" w:rsidRPr="00783798" w:rsidRDefault="0095425C" w:rsidP="006642F3">
      <w:pPr>
        <w:jc w:val="both"/>
        <w:rPr>
          <w:rFonts w:cs="Times New Roman"/>
          <w:b/>
        </w:rPr>
      </w:pPr>
      <w:r w:rsidRPr="00783798">
        <w:rPr>
          <w:rFonts w:cs="Times New Roman"/>
          <w:b/>
        </w:rPr>
        <w:t>1</w:t>
      </w:r>
      <w:r w:rsidRPr="00783798">
        <w:rPr>
          <w:rFonts w:cs="Times New Roman"/>
          <w:b/>
        </w:rPr>
        <w:tab/>
      </w:r>
      <w:r w:rsidR="009701FC" w:rsidRPr="00783798">
        <w:rPr>
          <w:rFonts w:cs="Times New Roman"/>
          <w:b/>
        </w:rPr>
        <w:t>INTRODUCTION</w:t>
      </w:r>
    </w:p>
    <w:p w:rsidR="00FC633C" w:rsidRPr="00783798" w:rsidRDefault="00261DB5" w:rsidP="006642F3">
      <w:pPr>
        <w:jc w:val="both"/>
        <w:rPr>
          <w:rFonts w:cs="Times New Roman"/>
        </w:rPr>
      </w:pPr>
      <w:r w:rsidRPr="00783798">
        <w:rPr>
          <w:rFonts w:cs="Times New Roman"/>
        </w:rPr>
        <w:t xml:space="preserve">Over the last decade there has been a rapid growth and diversity of so called auxiliary data sources, ranging from commercial consumer data to official administrative records as well as information </w:t>
      </w:r>
      <w:r w:rsidR="007E4226" w:rsidRPr="00783798">
        <w:rPr>
          <w:rFonts w:cs="Times New Roman"/>
        </w:rPr>
        <w:t>captured from</w:t>
      </w:r>
      <w:r w:rsidRPr="00783798">
        <w:rPr>
          <w:rFonts w:cs="Times New Roman"/>
        </w:rPr>
        <w:t xml:space="preserve"> the internet. </w:t>
      </w:r>
      <w:r w:rsidR="00FF7ACE" w:rsidRPr="00783798">
        <w:rPr>
          <w:rFonts w:cs="Times New Roman"/>
        </w:rPr>
        <w:t xml:space="preserve">The continuous development of new technologies, software and other </w:t>
      </w:r>
      <w:bookmarkStart w:id="0" w:name="_GoBack"/>
      <w:bookmarkEnd w:id="0"/>
      <w:r w:rsidR="00FF7ACE" w:rsidRPr="00783798">
        <w:rPr>
          <w:rFonts w:cs="Times New Roman"/>
        </w:rPr>
        <w:t xml:space="preserve">resources makes linking of these new forms of external data to survey data both possible and more accurate. </w:t>
      </w:r>
      <w:r w:rsidR="00FC633C" w:rsidRPr="00783798">
        <w:rPr>
          <w:rFonts w:cs="Times New Roman"/>
        </w:rPr>
        <w:t xml:space="preserve">New opportunities to supplement survey data have naturally generated an increased demand for auxiliary data to be used in survey research. Judging from the literature, the most prominent advantages of auxiliary data can be made within nonresponse analyses, on the basis of the theoretical promise of auxiliary data to overcome the challenge of nonresponse (Krueger and West 2014). In fact, after decades of falling response rates, even in what can be considered as benchmark surveys, nonresponse is acknowledged as a considerable and increasing problem for most general population surveys (Brick and Williams 2013, Massey and </w:t>
      </w:r>
      <w:proofErr w:type="spellStart"/>
      <w:r w:rsidR="00FC633C" w:rsidRPr="00783798">
        <w:rPr>
          <w:rFonts w:cs="Times New Roman"/>
        </w:rPr>
        <w:t>Tourangeau</w:t>
      </w:r>
      <w:proofErr w:type="spellEnd"/>
      <w:r w:rsidR="00FC633C" w:rsidRPr="00783798">
        <w:rPr>
          <w:rFonts w:cs="Times New Roman"/>
        </w:rPr>
        <w:t xml:space="preserve"> 2013, </w:t>
      </w:r>
      <w:proofErr w:type="spellStart"/>
      <w:r w:rsidR="00FC633C" w:rsidRPr="00783798">
        <w:rPr>
          <w:rFonts w:cs="Times New Roman"/>
        </w:rPr>
        <w:t>Peytchev</w:t>
      </w:r>
      <w:proofErr w:type="spellEnd"/>
      <w:r w:rsidR="00FC633C" w:rsidRPr="00783798">
        <w:rPr>
          <w:rFonts w:cs="Times New Roman"/>
        </w:rPr>
        <w:t xml:space="preserve"> 2013). </w:t>
      </w:r>
      <w:r w:rsidR="006642F3" w:rsidRPr="00783798">
        <w:rPr>
          <w:rFonts w:cs="Times New Roman"/>
        </w:rPr>
        <w:t>A</w:t>
      </w:r>
      <w:r w:rsidRPr="00783798">
        <w:rPr>
          <w:rFonts w:cs="Times New Roman"/>
        </w:rPr>
        <w:t>dditional information</w:t>
      </w:r>
      <w:r w:rsidR="006642F3" w:rsidRPr="00783798">
        <w:rPr>
          <w:rFonts w:cs="Times New Roman"/>
        </w:rPr>
        <w:t xml:space="preserve"> to adjust for nonresponse bias could for instance</w:t>
      </w:r>
      <w:r w:rsidRPr="00783798">
        <w:rPr>
          <w:rFonts w:cs="Times New Roman"/>
        </w:rPr>
        <w:t xml:space="preserve"> </w:t>
      </w:r>
      <w:r w:rsidR="006642F3" w:rsidRPr="00783798">
        <w:rPr>
          <w:rFonts w:cs="Times New Roman"/>
        </w:rPr>
        <w:t xml:space="preserve">consist of </w:t>
      </w:r>
      <w:r w:rsidRPr="00783798">
        <w:rPr>
          <w:rFonts w:cs="Times New Roman"/>
        </w:rPr>
        <w:t>neighbourhood contextual information such as population density, crime rates and poverty, geo location indicators with descriptions of geography including transport networks and local amenities such as the proximity to schools, libraries and hospitals, behavioural or attitudinal data captured from social media and administrative data on tax collection, pension or welfare benefit computations</w:t>
      </w:r>
      <w:r w:rsidR="004B3C50" w:rsidRPr="00783798">
        <w:rPr>
          <w:rFonts w:cs="Times New Roman"/>
        </w:rPr>
        <w:t xml:space="preserve"> </w:t>
      </w:r>
      <w:r w:rsidR="000464BC" w:rsidRPr="00783798">
        <w:rPr>
          <w:rFonts w:cs="Times New Roman"/>
        </w:rPr>
        <w:t xml:space="preserve">(Comber et.al 2011, </w:t>
      </w:r>
      <w:proofErr w:type="spellStart"/>
      <w:r w:rsidR="000464BC" w:rsidRPr="00783798">
        <w:rPr>
          <w:rFonts w:cs="Times New Roman"/>
        </w:rPr>
        <w:t>Biemer</w:t>
      </w:r>
      <w:proofErr w:type="spellEnd"/>
      <w:r w:rsidR="000464BC" w:rsidRPr="00783798">
        <w:rPr>
          <w:rFonts w:cs="Times New Roman"/>
        </w:rPr>
        <w:t xml:space="preserve"> and </w:t>
      </w:r>
      <w:proofErr w:type="spellStart"/>
      <w:r w:rsidR="000464BC" w:rsidRPr="00783798">
        <w:rPr>
          <w:rFonts w:cs="Times New Roman"/>
        </w:rPr>
        <w:t>Peytchev</w:t>
      </w:r>
      <w:proofErr w:type="spellEnd"/>
      <w:r w:rsidR="000464BC" w:rsidRPr="00783798">
        <w:rPr>
          <w:rFonts w:cs="Times New Roman"/>
        </w:rPr>
        <w:t xml:space="preserve"> 2013)</w:t>
      </w:r>
      <w:r w:rsidRPr="00783798">
        <w:rPr>
          <w:rFonts w:cs="Times New Roman"/>
        </w:rPr>
        <w:t xml:space="preserve">. </w:t>
      </w:r>
      <w:r w:rsidR="004C3830" w:rsidRPr="00783798">
        <w:rPr>
          <w:rFonts w:cs="Times New Roman"/>
        </w:rPr>
        <w:t>However</w:t>
      </w:r>
      <w:r w:rsidR="00FC633C" w:rsidRPr="00783798">
        <w:rPr>
          <w:rFonts w:cs="Times New Roman"/>
        </w:rPr>
        <w:t xml:space="preserve">, the relentless expansion of new technologies into all aspects of our lives has not only increased the volume of personal data potentially available to researchers, but also introduced new types of personal information that must be protected (ESOMAR 2016). </w:t>
      </w:r>
      <w:r w:rsidR="00FF7ACE" w:rsidRPr="00783798">
        <w:rPr>
          <w:rFonts w:cs="Times New Roman"/>
        </w:rPr>
        <w:t xml:space="preserve"> </w:t>
      </w:r>
      <w:r w:rsidR="004B3C50" w:rsidRPr="00783798">
        <w:rPr>
          <w:rFonts w:cs="Times New Roman"/>
        </w:rPr>
        <w:t xml:space="preserve"> </w:t>
      </w:r>
    </w:p>
    <w:p w:rsidR="007F600D" w:rsidRPr="00783798" w:rsidRDefault="008F04F8" w:rsidP="007F600D">
      <w:pPr>
        <w:jc w:val="both"/>
        <w:rPr>
          <w:rFonts w:cs="Times New Roman"/>
        </w:rPr>
      </w:pPr>
      <w:r w:rsidRPr="00783798">
        <w:rPr>
          <w:rFonts w:cs="Times New Roman"/>
        </w:rPr>
        <w:t xml:space="preserve">The main issues requiring attention to ensure ethical research practice, </w:t>
      </w:r>
      <w:proofErr w:type="spellStart"/>
      <w:r w:rsidRPr="00783798">
        <w:rPr>
          <w:rFonts w:cs="Times New Roman"/>
        </w:rPr>
        <w:t>center</w:t>
      </w:r>
      <w:proofErr w:type="spellEnd"/>
      <w:r w:rsidRPr="00783798">
        <w:rPr>
          <w:rFonts w:cs="Times New Roman"/>
        </w:rPr>
        <w:t xml:space="preserve"> </w:t>
      </w:r>
      <w:proofErr w:type="gramStart"/>
      <w:r w:rsidRPr="00783798">
        <w:rPr>
          <w:rFonts w:cs="Times New Roman"/>
        </w:rPr>
        <w:t>around</w:t>
      </w:r>
      <w:proofErr w:type="gramEnd"/>
      <w:r w:rsidRPr="00783798">
        <w:rPr>
          <w:rFonts w:cs="Times New Roman"/>
        </w:rPr>
        <w:t xml:space="preserve"> the commitment to protect the rights of free will, privacy, confidentiality, and wellbeing of research participants. These ethical rights date back to the Helsinki Declaration (1948) and the Belmont Report (1979) </w:t>
      </w:r>
      <w:r w:rsidR="000464BC" w:rsidRPr="00783798">
        <w:rPr>
          <w:rFonts w:cs="Times New Roman"/>
        </w:rPr>
        <w:t>(Singer 2008)</w:t>
      </w:r>
      <w:r w:rsidRPr="00783798">
        <w:rPr>
          <w:rFonts w:cs="Times New Roman"/>
        </w:rPr>
        <w:t xml:space="preserve">. </w:t>
      </w:r>
      <w:r w:rsidR="006C078A" w:rsidRPr="00783798">
        <w:rPr>
          <w:rFonts w:cs="Times New Roman"/>
        </w:rPr>
        <w:t xml:space="preserve">Following the line of Helsinki and Belmont, </w:t>
      </w:r>
      <w:r w:rsidR="003B2270" w:rsidRPr="00783798">
        <w:rPr>
          <w:rFonts w:cs="Times New Roman"/>
        </w:rPr>
        <w:t xml:space="preserve">the </w:t>
      </w:r>
      <w:r w:rsidRPr="00783798">
        <w:rPr>
          <w:rFonts w:cs="Times New Roman"/>
        </w:rPr>
        <w:t>two key ethical principles that stand out as particularly r</w:t>
      </w:r>
      <w:r w:rsidR="008B011A" w:rsidRPr="00783798">
        <w:rPr>
          <w:rFonts w:cs="Times New Roman"/>
        </w:rPr>
        <w:t>elevan</w:t>
      </w:r>
      <w:r w:rsidR="003B2270" w:rsidRPr="00783798">
        <w:rPr>
          <w:rFonts w:cs="Times New Roman"/>
        </w:rPr>
        <w:t>t for survey researchers are</w:t>
      </w:r>
      <w:r w:rsidR="008B011A" w:rsidRPr="00783798">
        <w:rPr>
          <w:rFonts w:cs="Times New Roman"/>
        </w:rPr>
        <w:t xml:space="preserve"> t</w:t>
      </w:r>
      <w:r w:rsidRPr="00783798">
        <w:rPr>
          <w:rFonts w:cs="Times New Roman"/>
        </w:rPr>
        <w:t xml:space="preserve">o </w:t>
      </w:r>
      <w:r w:rsidR="006C078A" w:rsidRPr="00783798">
        <w:rPr>
          <w:rFonts w:cs="Times New Roman"/>
        </w:rPr>
        <w:t>protect</w:t>
      </w:r>
      <w:r w:rsidRPr="00783798">
        <w:rPr>
          <w:rFonts w:cs="Times New Roman"/>
        </w:rPr>
        <w:t xml:space="preserve"> the confidentiality of the data </w:t>
      </w:r>
      <w:r w:rsidR="00241B04" w:rsidRPr="00783798">
        <w:rPr>
          <w:rFonts w:cs="Times New Roman"/>
        </w:rPr>
        <w:t>collected</w:t>
      </w:r>
      <w:r w:rsidRPr="00783798">
        <w:rPr>
          <w:rFonts w:cs="Times New Roman"/>
        </w:rPr>
        <w:t xml:space="preserve"> and t</w:t>
      </w:r>
      <w:r w:rsidR="006C078A" w:rsidRPr="00783798">
        <w:rPr>
          <w:rFonts w:cs="Times New Roman"/>
        </w:rPr>
        <w:t>o</w:t>
      </w:r>
      <w:r w:rsidRPr="00783798">
        <w:rPr>
          <w:rFonts w:cs="Times New Roman"/>
        </w:rPr>
        <w:t xml:space="preserve"> </w:t>
      </w:r>
      <w:r w:rsidR="00741C6C" w:rsidRPr="00783798">
        <w:rPr>
          <w:rFonts w:cs="Times New Roman"/>
        </w:rPr>
        <w:t>ensure</w:t>
      </w:r>
      <w:r w:rsidRPr="00783798">
        <w:rPr>
          <w:rFonts w:cs="Times New Roman"/>
        </w:rPr>
        <w:t xml:space="preserve"> that </w:t>
      </w:r>
      <w:r w:rsidR="006C078A" w:rsidRPr="00783798">
        <w:rPr>
          <w:rFonts w:cs="Times New Roman"/>
        </w:rPr>
        <w:t>the respondents</w:t>
      </w:r>
      <w:r w:rsidRPr="00783798">
        <w:rPr>
          <w:rFonts w:cs="Times New Roman"/>
        </w:rPr>
        <w:t xml:space="preserve"> are treated as autonomous individuals with the right to make informed voluntary decisions about participation </w:t>
      </w:r>
      <w:r w:rsidR="000464BC" w:rsidRPr="00783798">
        <w:rPr>
          <w:rFonts w:cs="Times New Roman"/>
        </w:rPr>
        <w:t>(</w:t>
      </w:r>
      <w:proofErr w:type="spellStart"/>
      <w:r w:rsidR="000464BC" w:rsidRPr="00783798">
        <w:rPr>
          <w:rFonts w:cs="Times New Roman"/>
        </w:rPr>
        <w:t>Couper</w:t>
      </w:r>
      <w:proofErr w:type="spellEnd"/>
      <w:r w:rsidR="000464BC" w:rsidRPr="00783798">
        <w:rPr>
          <w:rFonts w:cs="Times New Roman"/>
        </w:rPr>
        <w:t xml:space="preserve"> and Singer 2013)</w:t>
      </w:r>
      <w:r w:rsidRPr="00783798">
        <w:rPr>
          <w:rFonts w:cs="Times New Roman"/>
        </w:rPr>
        <w:t>.</w:t>
      </w:r>
      <w:r w:rsidR="00F523BF" w:rsidRPr="00783798">
        <w:rPr>
          <w:rFonts w:cs="Times New Roman"/>
        </w:rPr>
        <w:t xml:space="preserve"> </w:t>
      </w:r>
      <w:r w:rsidR="0045631E" w:rsidRPr="00783798">
        <w:rPr>
          <w:rFonts w:cs="Times New Roman"/>
        </w:rPr>
        <w:t>Further</w:t>
      </w:r>
      <w:r w:rsidR="00C95D94" w:rsidRPr="00783798">
        <w:rPr>
          <w:rFonts w:cs="Times New Roman"/>
        </w:rPr>
        <w:t>more</w:t>
      </w:r>
      <w:r w:rsidR="0045631E" w:rsidRPr="00783798">
        <w:rPr>
          <w:rFonts w:cs="Times New Roman"/>
        </w:rPr>
        <w:t xml:space="preserve">, </w:t>
      </w:r>
      <w:r w:rsidR="00103AD4" w:rsidRPr="00783798">
        <w:rPr>
          <w:rFonts w:cs="Times New Roman"/>
        </w:rPr>
        <w:t>researchers continuously need to protect their reputation through practices that ensure transparency for respondents, maintain confidence in provided information</w:t>
      </w:r>
      <w:r w:rsidR="00752B80" w:rsidRPr="00783798">
        <w:rPr>
          <w:rFonts w:cs="Times New Roman"/>
        </w:rPr>
        <w:t>,</w:t>
      </w:r>
      <w:r w:rsidR="00103AD4" w:rsidRPr="00783798">
        <w:rPr>
          <w:rFonts w:cs="Times New Roman"/>
        </w:rPr>
        <w:t xml:space="preserve"> and demonstrate consideration for research participants (E</w:t>
      </w:r>
      <w:r w:rsidR="000D77D6" w:rsidRPr="00783798">
        <w:rPr>
          <w:rFonts w:cs="Times New Roman"/>
        </w:rPr>
        <w:t>SOMAR 2016). B</w:t>
      </w:r>
      <w:r w:rsidR="0067533E" w:rsidRPr="00783798">
        <w:rPr>
          <w:rFonts w:cs="Times New Roman"/>
        </w:rPr>
        <w:t>uilding of trust</w:t>
      </w:r>
      <w:r w:rsidR="00103AD4" w:rsidRPr="00783798">
        <w:rPr>
          <w:rFonts w:cs="Times New Roman"/>
        </w:rPr>
        <w:t xml:space="preserve"> is</w:t>
      </w:r>
      <w:r w:rsidR="0045631E" w:rsidRPr="00783798">
        <w:rPr>
          <w:rFonts w:cs="Times New Roman"/>
        </w:rPr>
        <w:t xml:space="preserve"> </w:t>
      </w:r>
      <w:r w:rsidR="002C49B8" w:rsidRPr="00783798">
        <w:rPr>
          <w:rFonts w:cs="Times New Roman"/>
        </w:rPr>
        <w:t>essential</w:t>
      </w:r>
      <w:r w:rsidR="0045631E" w:rsidRPr="00783798">
        <w:rPr>
          <w:rFonts w:cs="Times New Roman"/>
        </w:rPr>
        <w:t xml:space="preserve"> for </w:t>
      </w:r>
      <w:r w:rsidR="00103AD4" w:rsidRPr="00783798">
        <w:rPr>
          <w:rFonts w:cs="Times New Roman"/>
        </w:rPr>
        <w:t>keeping individuals</w:t>
      </w:r>
      <w:r w:rsidR="0045631E" w:rsidRPr="00783798">
        <w:rPr>
          <w:rFonts w:cs="Times New Roman"/>
        </w:rPr>
        <w:t xml:space="preserve"> engage</w:t>
      </w:r>
      <w:r w:rsidR="00103AD4" w:rsidRPr="00783798">
        <w:rPr>
          <w:rFonts w:cs="Times New Roman"/>
        </w:rPr>
        <w:t>d</w:t>
      </w:r>
      <w:r w:rsidR="0045631E" w:rsidRPr="00783798">
        <w:rPr>
          <w:rFonts w:cs="Times New Roman"/>
        </w:rPr>
        <w:t xml:space="preserve"> in research.</w:t>
      </w:r>
      <w:r w:rsidR="007F600D" w:rsidRPr="00783798">
        <w:rPr>
          <w:rFonts w:cs="Times New Roman"/>
        </w:rPr>
        <w:t xml:space="preserve"> However, the principle</w:t>
      </w:r>
      <w:r w:rsidR="000D5C78" w:rsidRPr="00783798">
        <w:rPr>
          <w:rFonts w:cs="Times New Roman"/>
        </w:rPr>
        <w:t>s</w:t>
      </w:r>
      <w:r w:rsidR="007F600D" w:rsidRPr="00783798">
        <w:rPr>
          <w:rFonts w:cs="Times New Roman"/>
        </w:rPr>
        <w:t xml:space="preserve"> of </w:t>
      </w:r>
      <w:r w:rsidR="000D5C78" w:rsidRPr="00783798">
        <w:rPr>
          <w:rFonts w:cs="Times New Roman"/>
        </w:rPr>
        <w:t xml:space="preserve">confidentiality and </w:t>
      </w:r>
      <w:r w:rsidR="007F600D" w:rsidRPr="00783798">
        <w:rPr>
          <w:rFonts w:cs="Times New Roman"/>
        </w:rPr>
        <w:t>consent grounded on transparent, easi</w:t>
      </w:r>
      <w:r w:rsidR="000D5C78" w:rsidRPr="00783798">
        <w:rPr>
          <w:rFonts w:cs="Times New Roman"/>
        </w:rPr>
        <w:t>ly understandable information are</w:t>
      </w:r>
      <w:r w:rsidR="007F600D" w:rsidRPr="00783798">
        <w:rPr>
          <w:rFonts w:cs="Times New Roman"/>
        </w:rPr>
        <w:t xml:space="preserve"> getting more complex as the collection of data within survey research expands and the volume of what can be considered as personal data increases. In the following, legal and ethical issues </w:t>
      </w:r>
      <w:r w:rsidR="0041210B" w:rsidRPr="00783798">
        <w:rPr>
          <w:rFonts w:cs="Times New Roman"/>
        </w:rPr>
        <w:t>relating</w:t>
      </w:r>
      <w:r w:rsidR="007F600D" w:rsidRPr="00783798">
        <w:rPr>
          <w:rFonts w:cs="Times New Roman"/>
        </w:rPr>
        <w:t xml:space="preserve"> to </w:t>
      </w:r>
      <w:r w:rsidR="0041210B" w:rsidRPr="00783798">
        <w:rPr>
          <w:rFonts w:cs="Times New Roman"/>
        </w:rPr>
        <w:t xml:space="preserve">the processing of personal data on non-respondents will be explored in relation to </w:t>
      </w:r>
      <w:r w:rsidR="005C3E6F" w:rsidRPr="00783798">
        <w:rPr>
          <w:rFonts w:cs="Times New Roman"/>
        </w:rPr>
        <w:t xml:space="preserve">ethical guidelines, </w:t>
      </w:r>
      <w:r w:rsidR="0041210B" w:rsidRPr="00783798">
        <w:rPr>
          <w:rFonts w:cs="Times New Roman"/>
        </w:rPr>
        <w:t xml:space="preserve">current legislation and new framework conditions in Europe.  </w:t>
      </w:r>
      <w:r w:rsidR="007F600D" w:rsidRPr="00783798">
        <w:rPr>
          <w:rFonts w:cs="Times New Roman"/>
        </w:rPr>
        <w:t xml:space="preserve"> </w:t>
      </w:r>
    </w:p>
    <w:p w:rsidR="00E2018A" w:rsidRPr="00783798" w:rsidRDefault="00E2018A" w:rsidP="006642F3">
      <w:pPr>
        <w:jc w:val="both"/>
        <w:rPr>
          <w:rFonts w:cs="Times New Roman"/>
        </w:rPr>
      </w:pPr>
    </w:p>
    <w:p w:rsidR="00E2018A" w:rsidRPr="00783798" w:rsidRDefault="0095425C" w:rsidP="006642F3">
      <w:pPr>
        <w:jc w:val="both"/>
        <w:rPr>
          <w:rFonts w:cs="Times New Roman"/>
          <w:b/>
        </w:rPr>
      </w:pPr>
      <w:r w:rsidRPr="00783798">
        <w:rPr>
          <w:rFonts w:cs="Times New Roman"/>
          <w:b/>
        </w:rPr>
        <w:lastRenderedPageBreak/>
        <w:t>2</w:t>
      </w:r>
      <w:r w:rsidRPr="00783798">
        <w:rPr>
          <w:rFonts w:cs="Times New Roman"/>
          <w:b/>
        </w:rPr>
        <w:tab/>
      </w:r>
      <w:r w:rsidR="00067EEE" w:rsidRPr="00783798">
        <w:rPr>
          <w:rFonts w:cs="Times New Roman"/>
          <w:b/>
        </w:rPr>
        <w:t xml:space="preserve">HARMONISATION OF LEGAL DATA PROTECTION </w:t>
      </w:r>
      <w:r w:rsidR="008F5742" w:rsidRPr="00783798">
        <w:rPr>
          <w:rFonts w:cs="Times New Roman"/>
          <w:b/>
        </w:rPr>
        <w:t>FRAMEWORK</w:t>
      </w:r>
      <w:r w:rsidR="004A251D" w:rsidRPr="00783798">
        <w:rPr>
          <w:rFonts w:cs="Times New Roman"/>
          <w:b/>
        </w:rPr>
        <w:t>S</w:t>
      </w:r>
    </w:p>
    <w:p w:rsidR="008978C7" w:rsidRPr="00783798" w:rsidRDefault="00E2018A" w:rsidP="006642F3">
      <w:pPr>
        <w:jc w:val="both"/>
        <w:rPr>
          <w:rFonts w:cs="Times New Roman"/>
        </w:rPr>
      </w:pPr>
      <w:r w:rsidRPr="00783798">
        <w:rPr>
          <w:rFonts w:cs="Times New Roman"/>
        </w:rPr>
        <w:t xml:space="preserve">Ethical obligations and guidelines are embodied in government laws and regulations that to some extent vary across national borders </w:t>
      </w:r>
      <w:r w:rsidR="00FC08EB" w:rsidRPr="00783798">
        <w:rPr>
          <w:rFonts w:cs="Times New Roman"/>
        </w:rPr>
        <w:t>(Singer 2008)</w:t>
      </w:r>
      <w:r w:rsidRPr="00783798">
        <w:rPr>
          <w:rFonts w:cs="Times New Roman"/>
        </w:rPr>
        <w:t xml:space="preserve">. In Europe, the processing of personal data is currently regulated by national implementations of the Data Protection Directive 95/46/EC. </w:t>
      </w:r>
      <w:r w:rsidR="00AB4D8B" w:rsidRPr="00783798">
        <w:rPr>
          <w:rFonts w:cs="Times New Roman"/>
        </w:rPr>
        <w:t>Consequently, r</w:t>
      </w:r>
      <w:r w:rsidR="00E64A37" w:rsidRPr="00783798">
        <w:rPr>
          <w:rFonts w:cs="Times New Roman"/>
        </w:rPr>
        <w:t>esearchers working in a global context face a patchwork of national data protection laws</w:t>
      </w:r>
      <w:r w:rsidR="00BB2D74" w:rsidRPr="00783798">
        <w:rPr>
          <w:rFonts w:cs="Times New Roman"/>
        </w:rPr>
        <w:t xml:space="preserve"> </w:t>
      </w:r>
      <w:r w:rsidR="002B02AA" w:rsidRPr="00783798">
        <w:rPr>
          <w:rFonts w:cs="Times New Roman"/>
        </w:rPr>
        <w:t>(ESOMAR 2016)</w:t>
      </w:r>
      <w:r w:rsidR="00BC59A4" w:rsidRPr="00783798">
        <w:rPr>
          <w:rFonts w:cs="Times New Roman"/>
        </w:rPr>
        <w:t xml:space="preserve">. </w:t>
      </w:r>
      <w:r w:rsidR="004A251D" w:rsidRPr="00783798">
        <w:rPr>
          <w:rFonts w:cs="Times New Roman"/>
        </w:rPr>
        <w:t>T</w:t>
      </w:r>
      <w:r w:rsidRPr="00783798">
        <w:rPr>
          <w:rFonts w:cs="Times New Roman"/>
        </w:rPr>
        <w:t>he need for a harmoni</w:t>
      </w:r>
      <w:r w:rsidR="00BB2D74" w:rsidRPr="00783798">
        <w:rPr>
          <w:rFonts w:cs="Times New Roman"/>
        </w:rPr>
        <w:t>s</w:t>
      </w:r>
      <w:r w:rsidR="00BC59A4" w:rsidRPr="00783798">
        <w:rPr>
          <w:rFonts w:cs="Times New Roman"/>
        </w:rPr>
        <w:t>ed legal framework in Europe was</w:t>
      </w:r>
      <w:r w:rsidRPr="00783798">
        <w:rPr>
          <w:rFonts w:cs="Times New Roman"/>
        </w:rPr>
        <w:t xml:space="preserve"> </w:t>
      </w:r>
      <w:r w:rsidR="004A251D" w:rsidRPr="00783798">
        <w:rPr>
          <w:rFonts w:cs="Times New Roman"/>
        </w:rPr>
        <w:t xml:space="preserve">thus </w:t>
      </w:r>
      <w:r w:rsidRPr="00783798">
        <w:rPr>
          <w:rFonts w:cs="Times New Roman"/>
        </w:rPr>
        <w:t>one of the reasons why the European Commission in January 2012 proposed a comprehensive reform of the cu</w:t>
      </w:r>
      <w:r w:rsidR="00FC08EB" w:rsidRPr="00783798">
        <w:rPr>
          <w:rFonts w:cs="Times New Roman"/>
        </w:rPr>
        <w:t>rrent data protection rules</w:t>
      </w:r>
      <w:r w:rsidRPr="00783798">
        <w:rPr>
          <w:rFonts w:cs="Times New Roman"/>
        </w:rPr>
        <w:t>. The promise of the</w:t>
      </w:r>
      <w:r w:rsidR="00605C4E" w:rsidRPr="00783798">
        <w:rPr>
          <w:rFonts w:cs="Times New Roman"/>
        </w:rPr>
        <w:t xml:space="preserve"> </w:t>
      </w:r>
      <w:r w:rsidR="008978C7" w:rsidRPr="00783798">
        <w:rPr>
          <w:rFonts w:cs="Times New Roman"/>
        </w:rPr>
        <w:t>new General Data Protection Regulation (hereafter referred to as GDPR or Regulation)</w:t>
      </w:r>
      <w:r w:rsidRPr="00783798">
        <w:rPr>
          <w:rFonts w:cs="Times New Roman"/>
        </w:rPr>
        <w:t xml:space="preserve"> is to </w:t>
      </w:r>
      <w:r w:rsidR="00741C6C" w:rsidRPr="00783798">
        <w:rPr>
          <w:rFonts w:cs="Times New Roman"/>
        </w:rPr>
        <w:t>harmonise the current</w:t>
      </w:r>
      <w:r w:rsidRPr="00783798">
        <w:rPr>
          <w:rFonts w:cs="Times New Roman"/>
        </w:rPr>
        <w:t xml:space="preserve"> data protection rules, as well as to ensure a consistent and high level of personal data protection to provide legal certainty and trust</w:t>
      </w:r>
      <w:r w:rsidR="00FC08EB" w:rsidRPr="00783798">
        <w:rPr>
          <w:rFonts w:cs="Times New Roman"/>
        </w:rPr>
        <w:t xml:space="preserve"> (European Commission 2015)</w:t>
      </w:r>
      <w:r w:rsidRPr="00783798">
        <w:rPr>
          <w:rFonts w:cs="Times New Roman"/>
        </w:rPr>
        <w:t xml:space="preserve">. </w:t>
      </w:r>
    </w:p>
    <w:p w:rsidR="007A2368" w:rsidRPr="00783798" w:rsidRDefault="00605C4E" w:rsidP="006642F3">
      <w:pPr>
        <w:jc w:val="both"/>
        <w:rPr>
          <w:rFonts w:cs="Times New Roman"/>
          <w:lang w:val="en-US"/>
        </w:rPr>
      </w:pPr>
      <w:r w:rsidRPr="00783798">
        <w:rPr>
          <w:rFonts w:cs="Times New Roman"/>
          <w:lang w:val="en-US"/>
        </w:rPr>
        <w:t xml:space="preserve">Compared to </w:t>
      </w:r>
      <w:r w:rsidR="00FA4919" w:rsidRPr="00783798">
        <w:rPr>
          <w:rFonts w:cs="Times New Roman"/>
          <w:lang w:val="en-US"/>
        </w:rPr>
        <w:t>the Directive</w:t>
      </w:r>
      <w:r w:rsidRPr="00783798">
        <w:rPr>
          <w:rFonts w:cs="Times New Roman"/>
          <w:lang w:val="en-US"/>
        </w:rPr>
        <w:t xml:space="preserve">, the GDPR imposes stricter obligations with regard to </w:t>
      </w:r>
      <w:r w:rsidR="009A6CEC" w:rsidRPr="00783798">
        <w:rPr>
          <w:rFonts w:cs="Times New Roman"/>
          <w:lang w:val="en-US"/>
        </w:rPr>
        <w:t>both consent and</w:t>
      </w:r>
      <w:r w:rsidR="00FA4919" w:rsidRPr="00783798">
        <w:rPr>
          <w:rFonts w:cs="Times New Roman"/>
          <w:lang w:val="en-US"/>
        </w:rPr>
        <w:t xml:space="preserve"> </w:t>
      </w:r>
      <w:r w:rsidRPr="00783798">
        <w:rPr>
          <w:rFonts w:cs="Times New Roman"/>
          <w:lang w:val="en-US"/>
        </w:rPr>
        <w:t>data security</w:t>
      </w:r>
      <w:r w:rsidR="004B3C50" w:rsidRPr="00783798">
        <w:rPr>
          <w:rFonts w:cs="Times New Roman"/>
          <w:lang w:val="en-US"/>
        </w:rPr>
        <w:t xml:space="preserve"> (</w:t>
      </w:r>
      <w:proofErr w:type="spellStart"/>
      <w:r w:rsidR="004B3C50" w:rsidRPr="00783798">
        <w:rPr>
          <w:rFonts w:cs="Times New Roman"/>
          <w:lang w:val="en-US"/>
        </w:rPr>
        <w:t>Maldoff</w:t>
      </w:r>
      <w:proofErr w:type="spellEnd"/>
      <w:r w:rsidR="004B3C50" w:rsidRPr="00783798">
        <w:rPr>
          <w:rFonts w:cs="Times New Roman"/>
          <w:lang w:val="en-US"/>
        </w:rPr>
        <w:t xml:space="preserve"> 2016)</w:t>
      </w:r>
      <w:r w:rsidRPr="00783798">
        <w:rPr>
          <w:rFonts w:cs="Times New Roman"/>
          <w:lang w:val="en-US"/>
        </w:rPr>
        <w:t xml:space="preserve">. Unlike the Directive, the Regulation also promotes techniques such as </w:t>
      </w:r>
      <w:proofErr w:type="spellStart"/>
      <w:r w:rsidRPr="00783798">
        <w:rPr>
          <w:rFonts w:cs="Times New Roman"/>
          <w:lang w:val="en-US"/>
        </w:rPr>
        <w:t>anonymisation</w:t>
      </w:r>
      <w:proofErr w:type="spellEnd"/>
      <w:r w:rsidRPr="00783798">
        <w:rPr>
          <w:rFonts w:cs="Times New Roman"/>
          <w:lang w:val="en-US"/>
        </w:rPr>
        <w:t xml:space="preserve"> (removing personally identifiable information where it is not needed), </w:t>
      </w:r>
      <w:proofErr w:type="spellStart"/>
      <w:r w:rsidRPr="00783798">
        <w:rPr>
          <w:rFonts w:cs="Times New Roman"/>
          <w:lang w:val="en-US"/>
        </w:rPr>
        <w:t>pseudonymisation</w:t>
      </w:r>
      <w:proofErr w:type="spellEnd"/>
      <w:r w:rsidRPr="00783798">
        <w:rPr>
          <w:rFonts w:cs="Times New Roman"/>
          <w:lang w:val="en-US"/>
        </w:rPr>
        <w:t xml:space="preserve"> (replacing personally identifiable material with artificial identifiers), and encryption (encoding messages so only those authorized can read it) to protect personal data (Article 30). Furthermore, the GDPR introduces the concept of “data protection by design”. At the conceptual level, data protection by design means that privacy should be a feature of the development of a product, rather than something that is tacked on later </w:t>
      </w:r>
      <w:r w:rsidR="00FC08EB" w:rsidRPr="00783798">
        <w:rPr>
          <w:rFonts w:cs="Times New Roman"/>
          <w:lang w:val="en-US"/>
        </w:rPr>
        <w:t>(</w:t>
      </w:r>
      <w:proofErr w:type="spellStart"/>
      <w:r w:rsidR="00FC08EB" w:rsidRPr="00783798">
        <w:rPr>
          <w:rFonts w:cs="Times New Roman"/>
          <w:lang w:val="en-US"/>
        </w:rPr>
        <w:t>Maldoff</w:t>
      </w:r>
      <w:proofErr w:type="spellEnd"/>
      <w:r w:rsidR="00FC08EB" w:rsidRPr="00783798">
        <w:rPr>
          <w:rFonts w:cs="Times New Roman"/>
          <w:lang w:val="en-US"/>
        </w:rPr>
        <w:t xml:space="preserve"> 2016)</w:t>
      </w:r>
      <w:r w:rsidRPr="00783798">
        <w:rPr>
          <w:rFonts w:cs="Times New Roman"/>
          <w:lang w:val="en-US"/>
        </w:rPr>
        <w:t xml:space="preserve">. Thus, Article 23 requires controllers to implement appropriate safeguards “both at the time of the determination of the means for processing and at the time of the processing itself.” </w:t>
      </w:r>
      <w:r w:rsidR="008978C7" w:rsidRPr="00783798">
        <w:rPr>
          <w:rFonts w:cs="Times New Roman"/>
        </w:rPr>
        <w:t>The GDPR will be directly applicable to all EU and EEA countries, and s</w:t>
      </w:r>
      <w:r w:rsidR="00D82796" w:rsidRPr="00783798">
        <w:rPr>
          <w:rFonts w:cs="Times New Roman"/>
        </w:rPr>
        <w:t>hall apply from 25 May 2018</w:t>
      </w:r>
      <w:r w:rsidR="008978C7" w:rsidRPr="00783798">
        <w:rPr>
          <w:rFonts w:cs="Times New Roman"/>
        </w:rPr>
        <w:t xml:space="preserve">.  </w:t>
      </w:r>
    </w:p>
    <w:p w:rsidR="00DF59DE" w:rsidRPr="00783798" w:rsidRDefault="00DF59DE" w:rsidP="006642F3">
      <w:pPr>
        <w:jc w:val="both"/>
        <w:rPr>
          <w:rFonts w:cs="Times New Roman"/>
          <w:lang w:val="en-US"/>
        </w:rPr>
      </w:pPr>
    </w:p>
    <w:p w:rsidR="0095425C" w:rsidRPr="00783798" w:rsidRDefault="0095425C" w:rsidP="006642F3">
      <w:pPr>
        <w:jc w:val="both"/>
        <w:rPr>
          <w:rFonts w:cs="Times New Roman"/>
          <w:b/>
        </w:rPr>
      </w:pPr>
      <w:r w:rsidRPr="00783798">
        <w:rPr>
          <w:rFonts w:cs="Times New Roman"/>
          <w:b/>
        </w:rPr>
        <w:t>2.1</w:t>
      </w:r>
      <w:r w:rsidRPr="00783798">
        <w:rPr>
          <w:rFonts w:cs="Times New Roman"/>
          <w:b/>
        </w:rPr>
        <w:tab/>
        <w:t>WHAT CONSTITUTES PERSONAL DATA</w:t>
      </w:r>
      <w:r w:rsidR="00761A16" w:rsidRPr="00783798">
        <w:rPr>
          <w:rFonts w:cs="Times New Roman"/>
          <w:b/>
        </w:rPr>
        <w:t>?</w:t>
      </w:r>
    </w:p>
    <w:p w:rsidR="00E875D3" w:rsidRPr="00783798" w:rsidRDefault="00DF59DE" w:rsidP="00E875D3">
      <w:pPr>
        <w:jc w:val="both"/>
        <w:rPr>
          <w:rFonts w:cs="Times New Roman"/>
        </w:rPr>
      </w:pPr>
      <w:r w:rsidRPr="00783798">
        <w:rPr>
          <w:rFonts w:cs="Times New Roman"/>
          <w:lang w:val="en-US"/>
        </w:rPr>
        <w:t xml:space="preserve">One of the essential </w:t>
      </w:r>
      <w:r w:rsidR="00C37D2D" w:rsidRPr="00783798">
        <w:rPr>
          <w:rFonts w:cs="Times New Roman"/>
          <w:lang w:val="en-US"/>
        </w:rPr>
        <w:t>elements</w:t>
      </w:r>
      <w:r w:rsidRPr="00783798">
        <w:rPr>
          <w:rFonts w:cs="Times New Roman"/>
          <w:lang w:val="en-US"/>
        </w:rPr>
        <w:t xml:space="preserve"> of a </w:t>
      </w:r>
      <w:r w:rsidRPr="00783798">
        <w:rPr>
          <w:rFonts w:cs="Times New Roman"/>
        </w:rPr>
        <w:t xml:space="preserve">harmonised legislation on privacy protection is a uniform understanding of the term personal data. </w:t>
      </w:r>
      <w:r w:rsidR="00E875D3" w:rsidRPr="00783798">
        <w:rPr>
          <w:rFonts w:cs="Times New Roman"/>
        </w:rPr>
        <w:t>The current Data Protection Directive defines personal data as “any information relating to an identified or identifiable natural person” meaning someone “who can be identified, directly or indirectly, in particular by reference to an identification number or to one or more factors specific to physical, physiological, mental, economic, cultural or social identity” (Ar</w:t>
      </w:r>
      <w:r w:rsidR="00D82796" w:rsidRPr="00783798">
        <w:rPr>
          <w:rFonts w:cs="Times New Roman"/>
        </w:rPr>
        <w:t>ticle 2</w:t>
      </w:r>
      <w:r w:rsidR="00833FAD" w:rsidRPr="00783798">
        <w:rPr>
          <w:rFonts w:cs="Times New Roman"/>
        </w:rPr>
        <w:t>(a)). This definition has been</w:t>
      </w:r>
      <w:r w:rsidR="00E875D3" w:rsidRPr="00783798">
        <w:rPr>
          <w:rFonts w:cs="Times New Roman"/>
        </w:rPr>
        <w:t xml:space="preserve"> implemented across Europe with various degrees of strictness. For instance the UK legislative </w:t>
      </w:r>
      <w:r w:rsidR="006C24D4" w:rsidRPr="00783798">
        <w:rPr>
          <w:rFonts w:cs="Times New Roman"/>
        </w:rPr>
        <w:t xml:space="preserve">has </w:t>
      </w:r>
      <w:r w:rsidR="00E875D3" w:rsidRPr="00783798">
        <w:rPr>
          <w:rFonts w:cs="Times New Roman"/>
        </w:rPr>
        <w:t>practice</w:t>
      </w:r>
      <w:r w:rsidR="006C24D4" w:rsidRPr="00783798">
        <w:rPr>
          <w:rFonts w:cs="Times New Roman"/>
        </w:rPr>
        <w:t>d a liberal interpretation, with personal data</w:t>
      </w:r>
      <w:r w:rsidR="00E875D3" w:rsidRPr="00783798">
        <w:rPr>
          <w:rFonts w:cs="Times New Roman"/>
        </w:rPr>
        <w:t xml:space="preserve"> defined as personal only if the investigator can identify the data subject </w:t>
      </w:r>
      <w:r w:rsidR="00D82796" w:rsidRPr="00783798">
        <w:rPr>
          <w:rFonts w:cs="Times New Roman"/>
        </w:rPr>
        <w:t>(</w:t>
      </w:r>
      <w:proofErr w:type="spellStart"/>
      <w:r w:rsidR="00D82796" w:rsidRPr="00783798">
        <w:rPr>
          <w:rFonts w:cs="Times New Roman"/>
        </w:rPr>
        <w:t>Beyleveld</w:t>
      </w:r>
      <w:proofErr w:type="spellEnd"/>
      <w:r w:rsidR="00D82796" w:rsidRPr="00783798">
        <w:rPr>
          <w:rFonts w:cs="Times New Roman"/>
        </w:rPr>
        <w:t xml:space="preserve"> et.al 2004:</w:t>
      </w:r>
      <w:r w:rsidR="00E875D3" w:rsidRPr="00783798">
        <w:rPr>
          <w:rFonts w:cs="Times New Roman"/>
        </w:rPr>
        <w:t>408</w:t>
      </w:r>
      <w:r w:rsidR="00D82796" w:rsidRPr="00783798">
        <w:rPr>
          <w:rFonts w:cs="Times New Roman"/>
        </w:rPr>
        <w:t>)</w:t>
      </w:r>
      <w:r w:rsidR="00E875D3" w:rsidRPr="00783798">
        <w:rPr>
          <w:rFonts w:cs="Times New Roman"/>
        </w:rPr>
        <w:t xml:space="preserve">. Likewise, the Dutch Data Protection Authority </w:t>
      </w:r>
      <w:r w:rsidR="00D82796" w:rsidRPr="00783798">
        <w:rPr>
          <w:rFonts w:cs="Times New Roman"/>
        </w:rPr>
        <w:t>(</w:t>
      </w:r>
      <w:proofErr w:type="spellStart"/>
      <w:r w:rsidR="00D82796" w:rsidRPr="00783798">
        <w:rPr>
          <w:rFonts w:cs="Times New Roman"/>
        </w:rPr>
        <w:t>Autoriteit</w:t>
      </w:r>
      <w:proofErr w:type="spellEnd"/>
      <w:r w:rsidR="00D82796" w:rsidRPr="00783798">
        <w:rPr>
          <w:rFonts w:cs="Times New Roman"/>
        </w:rPr>
        <w:t xml:space="preserve"> </w:t>
      </w:r>
      <w:proofErr w:type="spellStart"/>
      <w:r w:rsidR="00D82796" w:rsidRPr="00783798">
        <w:rPr>
          <w:rFonts w:cs="Times New Roman"/>
        </w:rPr>
        <w:t>Persoonsgegenes</w:t>
      </w:r>
      <w:proofErr w:type="spellEnd"/>
      <w:r w:rsidR="00D82796" w:rsidRPr="00783798">
        <w:rPr>
          <w:rFonts w:cs="Times New Roman"/>
        </w:rPr>
        <w:t xml:space="preserve">) </w:t>
      </w:r>
      <w:r w:rsidR="00E875D3" w:rsidRPr="00783798">
        <w:rPr>
          <w:rFonts w:cs="Times New Roman"/>
        </w:rPr>
        <w:t>states that data should no</w:t>
      </w:r>
      <w:r w:rsidR="005434FA" w:rsidRPr="00783798">
        <w:rPr>
          <w:rFonts w:cs="Times New Roman"/>
        </w:rPr>
        <w:t>t be considered as personal</w:t>
      </w:r>
      <w:r w:rsidR="00E875D3" w:rsidRPr="00783798">
        <w:rPr>
          <w:rFonts w:cs="Times New Roman"/>
        </w:rPr>
        <w:t xml:space="preserve"> if actual identification is reasonably excluded because of effective measures such as encryption of the data and/or agreements a</w:t>
      </w:r>
      <w:r w:rsidR="00D82796" w:rsidRPr="00783798">
        <w:rPr>
          <w:rFonts w:cs="Times New Roman"/>
        </w:rPr>
        <w:t>bout the access to the data</w:t>
      </w:r>
      <w:r w:rsidR="00E875D3" w:rsidRPr="00783798">
        <w:rPr>
          <w:rFonts w:cs="Times New Roman"/>
        </w:rPr>
        <w:t xml:space="preserve">. At the other end of the scale, in countries like Estonia and Norway, any data concerning an identified person is defined as personal data, regardless of the form or format in which such data exists. Hence, a lot more individual level data has been falling outside the scope of the privacy regulation in the UK and Netherlands than in Norway and Estonia </w:t>
      </w:r>
      <w:r w:rsidR="00D82796" w:rsidRPr="00783798">
        <w:rPr>
          <w:rFonts w:cs="Times New Roman"/>
        </w:rPr>
        <w:t>(</w:t>
      </w:r>
      <w:proofErr w:type="spellStart"/>
      <w:r w:rsidR="00D82796" w:rsidRPr="00783798">
        <w:rPr>
          <w:rFonts w:cs="Times New Roman"/>
        </w:rPr>
        <w:t>Bøe</w:t>
      </w:r>
      <w:proofErr w:type="spellEnd"/>
      <w:r w:rsidR="00D82796" w:rsidRPr="00783798">
        <w:rPr>
          <w:rFonts w:cs="Times New Roman"/>
        </w:rPr>
        <w:t xml:space="preserve"> et.al 2014)</w:t>
      </w:r>
      <w:r w:rsidR="00E875D3" w:rsidRPr="00783798">
        <w:rPr>
          <w:rFonts w:cs="Times New Roman"/>
        </w:rPr>
        <w:t xml:space="preserve">. </w:t>
      </w:r>
    </w:p>
    <w:p w:rsidR="002C0D02" w:rsidRPr="00783798" w:rsidRDefault="00E875D3" w:rsidP="006642F3">
      <w:pPr>
        <w:jc w:val="both"/>
        <w:rPr>
          <w:rFonts w:cs="Times New Roman"/>
        </w:rPr>
      </w:pPr>
      <w:r w:rsidRPr="00783798">
        <w:rPr>
          <w:rFonts w:cs="Times New Roman"/>
        </w:rPr>
        <w:t xml:space="preserve">The definition of personal data in the new EU Regulation is similar to the existing one in the Directive, with the difference that location data, online identifiers and genetic factors have been included. </w:t>
      </w:r>
      <w:r w:rsidRPr="00783798">
        <w:rPr>
          <w:rFonts w:cs="Times New Roman"/>
        </w:rPr>
        <w:lastRenderedPageBreak/>
        <w:t>Furthermore, the Regulation continues the account taken in the Directive of means reasonably likely to be used, when determining whether a person is identifiable. The Regulation states that account should be taken of all objective factors, such as the costs of and the amount of time required for identification, taking into consideration the available technology at the time of the processing and technological developments</w:t>
      </w:r>
      <w:r w:rsidR="0057436E" w:rsidRPr="00783798">
        <w:rPr>
          <w:rFonts w:cs="Times New Roman"/>
        </w:rPr>
        <w:t xml:space="preserve">. Personal data which have been </w:t>
      </w:r>
      <w:proofErr w:type="spellStart"/>
      <w:r w:rsidR="0057436E" w:rsidRPr="00783798">
        <w:rPr>
          <w:rFonts w:cs="Times New Roman"/>
        </w:rPr>
        <w:t>pseudonymised</w:t>
      </w:r>
      <w:proofErr w:type="spellEnd"/>
      <w:r w:rsidR="0057436E" w:rsidRPr="00783798">
        <w:rPr>
          <w:rFonts w:cs="Times New Roman"/>
        </w:rPr>
        <w:t xml:space="preserve"> is explicitly stated to </w:t>
      </w:r>
      <w:r w:rsidR="00D336F5" w:rsidRPr="00783798">
        <w:rPr>
          <w:rFonts w:cs="Times New Roman"/>
        </w:rPr>
        <w:t>be considered as information on identifiable persons and therefore subject to the Regulation</w:t>
      </w:r>
      <w:r w:rsidR="0057436E" w:rsidRPr="00783798">
        <w:rPr>
          <w:rFonts w:cs="Times New Roman"/>
        </w:rPr>
        <w:t xml:space="preserve"> </w:t>
      </w:r>
      <w:r w:rsidRPr="00783798">
        <w:rPr>
          <w:rFonts w:cs="Times New Roman"/>
        </w:rPr>
        <w:t>(cf. recital 2</w:t>
      </w:r>
      <w:r w:rsidR="006C24D4" w:rsidRPr="00783798">
        <w:rPr>
          <w:rFonts w:cs="Times New Roman"/>
        </w:rPr>
        <w:t>6</w:t>
      </w:r>
      <w:r w:rsidRPr="00783798">
        <w:rPr>
          <w:rFonts w:cs="Times New Roman"/>
        </w:rPr>
        <w:t>). Thus, even if a researcher</w:t>
      </w:r>
      <w:r w:rsidR="0057436E" w:rsidRPr="00783798">
        <w:rPr>
          <w:rFonts w:cs="Times New Roman"/>
        </w:rPr>
        <w:t xml:space="preserve"> or controller no longer have</w:t>
      </w:r>
      <w:r w:rsidRPr="00783798">
        <w:rPr>
          <w:rFonts w:cs="Times New Roman"/>
        </w:rPr>
        <w:t xml:space="preserve"> the ability to re-identify a data set, such data set may still be regulated under the GDPR if it could be re-identified with reasonable effort</w:t>
      </w:r>
      <w:r w:rsidR="006C24D4" w:rsidRPr="00783798">
        <w:rPr>
          <w:rFonts w:cs="Times New Roman"/>
        </w:rPr>
        <w:t>, by another person</w:t>
      </w:r>
      <w:r w:rsidR="004B3C50" w:rsidRPr="00783798">
        <w:rPr>
          <w:rFonts w:cs="Times New Roman"/>
        </w:rPr>
        <w:t xml:space="preserve"> (</w:t>
      </w:r>
      <w:proofErr w:type="spellStart"/>
      <w:r w:rsidR="004B3C50" w:rsidRPr="00783798">
        <w:rPr>
          <w:rFonts w:cs="Times New Roman"/>
        </w:rPr>
        <w:t>Maldoff</w:t>
      </w:r>
      <w:proofErr w:type="spellEnd"/>
      <w:r w:rsidR="00D82796" w:rsidRPr="00783798">
        <w:rPr>
          <w:rFonts w:cs="Times New Roman"/>
        </w:rPr>
        <w:t xml:space="preserve"> 2016</w:t>
      </w:r>
      <w:r w:rsidR="004B3C50" w:rsidRPr="00783798">
        <w:rPr>
          <w:rFonts w:cs="Times New Roman"/>
        </w:rPr>
        <w:t>)</w:t>
      </w:r>
      <w:r w:rsidRPr="00783798">
        <w:rPr>
          <w:rFonts w:cs="Times New Roman"/>
        </w:rPr>
        <w:t xml:space="preserve">. </w:t>
      </w:r>
      <w:r w:rsidR="004E5491" w:rsidRPr="00783798">
        <w:rPr>
          <w:rFonts w:cs="Times New Roman"/>
        </w:rPr>
        <w:t xml:space="preserve">Furthermore, </w:t>
      </w:r>
      <w:r w:rsidR="00BD5D53" w:rsidRPr="00783798">
        <w:rPr>
          <w:rFonts w:cs="Times New Roman"/>
        </w:rPr>
        <w:t xml:space="preserve">data is </w:t>
      </w:r>
      <w:r w:rsidR="004E5491" w:rsidRPr="00783798">
        <w:rPr>
          <w:rFonts w:cs="Times New Roman"/>
        </w:rPr>
        <w:t xml:space="preserve">considered anonymous only when it does not </w:t>
      </w:r>
      <w:r w:rsidR="006C24D4" w:rsidRPr="00783798">
        <w:rPr>
          <w:rFonts w:cs="Times New Roman"/>
        </w:rPr>
        <w:t>relate</w:t>
      </w:r>
      <w:r w:rsidR="004E5491" w:rsidRPr="00783798">
        <w:rPr>
          <w:rFonts w:cs="Times New Roman"/>
        </w:rPr>
        <w:t xml:space="preserve"> to an identified or identifiable natural person</w:t>
      </w:r>
      <w:r w:rsidR="006C24D4" w:rsidRPr="00783798">
        <w:rPr>
          <w:rFonts w:cs="Times New Roman"/>
        </w:rPr>
        <w:t xml:space="preserve"> (by any means likely to be used) (cf. GDPR, recital 26)</w:t>
      </w:r>
      <w:r w:rsidR="004E5491" w:rsidRPr="00783798">
        <w:rPr>
          <w:rFonts w:cs="Times New Roman"/>
        </w:rPr>
        <w:t xml:space="preserve">. </w:t>
      </w:r>
      <w:r w:rsidR="009F733E" w:rsidRPr="00783798">
        <w:rPr>
          <w:rFonts w:cs="Times New Roman"/>
        </w:rPr>
        <w:t>T</w:t>
      </w:r>
      <w:r w:rsidRPr="00783798">
        <w:rPr>
          <w:rFonts w:cs="Times New Roman"/>
        </w:rPr>
        <w:t>o achieve</w:t>
      </w:r>
      <w:r w:rsidR="009F733E" w:rsidRPr="00783798">
        <w:rPr>
          <w:rFonts w:cs="Times New Roman"/>
        </w:rPr>
        <w:t xml:space="preserve"> a harmonis</w:t>
      </w:r>
      <w:r w:rsidRPr="00783798">
        <w:rPr>
          <w:rFonts w:cs="Times New Roman"/>
        </w:rPr>
        <w:t>ed interpretation of the definition of personal data</w:t>
      </w:r>
      <w:r w:rsidR="00FA4919" w:rsidRPr="00783798">
        <w:rPr>
          <w:rFonts w:cs="Times New Roman"/>
        </w:rPr>
        <w:t xml:space="preserve"> across Europe</w:t>
      </w:r>
      <w:r w:rsidRPr="00783798">
        <w:rPr>
          <w:rFonts w:cs="Times New Roman"/>
        </w:rPr>
        <w:t xml:space="preserve">, the GDPR </w:t>
      </w:r>
      <w:r w:rsidR="004B2938" w:rsidRPr="00783798">
        <w:rPr>
          <w:rFonts w:cs="Times New Roman"/>
        </w:rPr>
        <w:t>will probably</w:t>
      </w:r>
      <w:r w:rsidRPr="00783798">
        <w:rPr>
          <w:rFonts w:cs="Times New Roman"/>
        </w:rPr>
        <w:t xml:space="preserve"> lower the threshold for considering information as directly or indirectly identifiable, resulting in more research projects falling within the scope of the law, at least in countries which have a liberal definition today </w:t>
      </w:r>
      <w:r w:rsidR="00A528BC" w:rsidRPr="00783798">
        <w:rPr>
          <w:rFonts w:cs="Times New Roman"/>
        </w:rPr>
        <w:t>(</w:t>
      </w:r>
      <w:proofErr w:type="spellStart"/>
      <w:r w:rsidR="00A528BC" w:rsidRPr="00783798">
        <w:rPr>
          <w:rFonts w:cs="Times New Roman"/>
        </w:rPr>
        <w:t>Bøe</w:t>
      </w:r>
      <w:proofErr w:type="spellEnd"/>
      <w:r w:rsidR="00A528BC" w:rsidRPr="00783798">
        <w:rPr>
          <w:rFonts w:cs="Times New Roman"/>
        </w:rPr>
        <w:t xml:space="preserve"> et.al 2014, </w:t>
      </w:r>
      <w:proofErr w:type="spellStart"/>
      <w:r w:rsidR="00A528BC" w:rsidRPr="00783798">
        <w:rPr>
          <w:rFonts w:cs="Times New Roman"/>
        </w:rPr>
        <w:t>Kvamme</w:t>
      </w:r>
      <w:proofErr w:type="spellEnd"/>
      <w:r w:rsidR="00A528BC" w:rsidRPr="00783798">
        <w:rPr>
          <w:rFonts w:cs="Times New Roman"/>
        </w:rPr>
        <w:t xml:space="preserve"> et.al 2014)</w:t>
      </w:r>
      <w:r w:rsidR="009F733E" w:rsidRPr="00783798">
        <w:rPr>
          <w:rFonts w:cs="Times New Roman"/>
        </w:rPr>
        <w:t xml:space="preserve">. </w:t>
      </w:r>
    </w:p>
    <w:p w:rsidR="009F733E" w:rsidRPr="00783798" w:rsidRDefault="009F733E" w:rsidP="006642F3">
      <w:pPr>
        <w:jc w:val="both"/>
        <w:rPr>
          <w:rFonts w:cs="Times New Roman"/>
        </w:rPr>
      </w:pPr>
    </w:p>
    <w:p w:rsidR="007A2368" w:rsidRPr="00783798" w:rsidRDefault="002C0D02" w:rsidP="006642F3">
      <w:pPr>
        <w:jc w:val="both"/>
        <w:rPr>
          <w:rFonts w:cs="Times New Roman"/>
          <w:b/>
        </w:rPr>
      </w:pPr>
      <w:r w:rsidRPr="00783798">
        <w:rPr>
          <w:rFonts w:cs="Times New Roman"/>
          <w:b/>
        </w:rPr>
        <w:t>3</w:t>
      </w:r>
      <w:r w:rsidRPr="00783798">
        <w:rPr>
          <w:rFonts w:cs="Times New Roman"/>
          <w:b/>
        </w:rPr>
        <w:tab/>
      </w:r>
      <w:proofErr w:type="gramStart"/>
      <w:r w:rsidR="00761A16" w:rsidRPr="00783798">
        <w:rPr>
          <w:rFonts w:cs="Times New Roman"/>
          <w:b/>
        </w:rPr>
        <w:t>RESEARCH</w:t>
      </w:r>
      <w:proofErr w:type="gramEnd"/>
      <w:r w:rsidR="00761A16" w:rsidRPr="00783798">
        <w:rPr>
          <w:rFonts w:cs="Times New Roman"/>
          <w:b/>
        </w:rPr>
        <w:t xml:space="preserve"> AS A LEGITIMATE BASIS FOR PROCESSING?</w:t>
      </w:r>
    </w:p>
    <w:p w:rsidR="005C2CE3" w:rsidRPr="00783798" w:rsidRDefault="00793378" w:rsidP="00E47EEE">
      <w:pPr>
        <w:jc w:val="both"/>
        <w:rPr>
          <w:rFonts w:cs="Times New Roman"/>
        </w:rPr>
      </w:pPr>
      <w:r w:rsidRPr="00783798">
        <w:rPr>
          <w:rFonts w:cs="Times New Roman"/>
        </w:rPr>
        <w:t xml:space="preserve">In survey research, the respondent’s informed consent usually constitutes the ethical and legal basis for the processing of personal data. </w:t>
      </w:r>
      <w:r w:rsidR="00557894" w:rsidRPr="00783798">
        <w:rPr>
          <w:rFonts w:cs="Times New Roman"/>
        </w:rPr>
        <w:t>I</w:t>
      </w:r>
      <w:r w:rsidR="00E47EEE" w:rsidRPr="00783798">
        <w:rPr>
          <w:rFonts w:cs="Times New Roman"/>
        </w:rPr>
        <w:t>n the new EU Regulation</w:t>
      </w:r>
      <w:r w:rsidR="00557894" w:rsidRPr="00783798">
        <w:rPr>
          <w:rFonts w:cs="Times New Roman"/>
        </w:rPr>
        <w:t>,</w:t>
      </w:r>
      <w:r w:rsidR="00E47EEE" w:rsidRPr="00783798">
        <w:rPr>
          <w:rFonts w:cs="Times New Roman"/>
        </w:rPr>
        <w:t xml:space="preserve"> </w:t>
      </w:r>
      <w:r w:rsidR="00557894" w:rsidRPr="00783798">
        <w:rPr>
          <w:rFonts w:cs="Times New Roman"/>
        </w:rPr>
        <w:t xml:space="preserve">consent </w:t>
      </w:r>
      <w:r w:rsidR="00E47EEE" w:rsidRPr="00783798">
        <w:rPr>
          <w:rFonts w:cs="Times New Roman"/>
        </w:rPr>
        <w:t>is similar to the</w:t>
      </w:r>
      <w:r w:rsidR="00557894" w:rsidRPr="00783798">
        <w:rPr>
          <w:rFonts w:cs="Times New Roman"/>
        </w:rPr>
        <w:t xml:space="preserve"> current</w:t>
      </w:r>
      <w:r w:rsidR="00E47EEE" w:rsidRPr="00783798">
        <w:rPr>
          <w:rFonts w:cs="Times New Roman"/>
        </w:rPr>
        <w:t xml:space="preserve"> Directive required to be “freely given, spec</w:t>
      </w:r>
      <w:r w:rsidR="00557894" w:rsidRPr="00783798">
        <w:rPr>
          <w:rFonts w:cs="Times New Roman"/>
        </w:rPr>
        <w:t>ific, informed, and unambiguous</w:t>
      </w:r>
      <w:r w:rsidR="00E47EEE" w:rsidRPr="00783798">
        <w:rPr>
          <w:rFonts w:cs="Times New Roman"/>
        </w:rPr>
        <w:t>” (</w:t>
      </w:r>
      <w:r w:rsidR="00AE28C4" w:rsidRPr="00783798">
        <w:rPr>
          <w:rFonts w:cs="Times New Roman"/>
        </w:rPr>
        <w:t xml:space="preserve">GDPR, </w:t>
      </w:r>
      <w:r w:rsidR="00E47EEE" w:rsidRPr="00783798">
        <w:rPr>
          <w:rFonts w:cs="Times New Roman"/>
        </w:rPr>
        <w:t xml:space="preserve">Article 4(8)). </w:t>
      </w:r>
      <w:r w:rsidR="005C2CE3" w:rsidRPr="00783798">
        <w:rPr>
          <w:rFonts w:cs="Times New Roman"/>
        </w:rPr>
        <w:t>Furthermore, in line with the principle of transparency, t</w:t>
      </w:r>
      <w:r w:rsidR="00E47EEE" w:rsidRPr="00783798">
        <w:rPr>
          <w:rFonts w:cs="Times New Roman"/>
        </w:rPr>
        <w:t>he GDPR require</w:t>
      </w:r>
      <w:r w:rsidR="005C2CE3" w:rsidRPr="00783798">
        <w:rPr>
          <w:rFonts w:cs="Times New Roman"/>
        </w:rPr>
        <w:t>s</w:t>
      </w:r>
      <w:r w:rsidR="00E47EEE" w:rsidRPr="00783798">
        <w:rPr>
          <w:rFonts w:cs="Times New Roman"/>
        </w:rPr>
        <w:t xml:space="preserve"> </w:t>
      </w:r>
      <w:r w:rsidR="005C2CE3" w:rsidRPr="00783798">
        <w:rPr>
          <w:rFonts w:cs="Times New Roman"/>
        </w:rPr>
        <w:t xml:space="preserve">that any information and communication between researcher and the data subject should be easily accessible and easy to understand, </w:t>
      </w:r>
      <w:r w:rsidR="00066816" w:rsidRPr="00783798">
        <w:rPr>
          <w:rFonts w:cs="Times New Roman"/>
        </w:rPr>
        <w:t>by using</w:t>
      </w:r>
      <w:r w:rsidR="005C2CE3" w:rsidRPr="00783798">
        <w:rPr>
          <w:rFonts w:cs="Times New Roman"/>
        </w:rPr>
        <w:t xml:space="preserve"> a clear and plain language (cf. recital 58). </w:t>
      </w:r>
    </w:p>
    <w:p w:rsidR="007724E1" w:rsidRPr="00783798" w:rsidRDefault="00793378" w:rsidP="006642F3">
      <w:pPr>
        <w:jc w:val="both"/>
        <w:rPr>
          <w:rFonts w:cs="Times New Roman"/>
        </w:rPr>
      </w:pPr>
      <w:r w:rsidRPr="00783798">
        <w:rPr>
          <w:rFonts w:cs="Times New Roman"/>
        </w:rPr>
        <w:t xml:space="preserve">Consent to collect data on non-respondents is however typically not feasible to obtain. Thus, nonresponse analyses which involve processing of personal data at any </w:t>
      </w:r>
      <w:r w:rsidR="00216280" w:rsidRPr="00783798">
        <w:rPr>
          <w:rFonts w:cs="Times New Roman"/>
        </w:rPr>
        <w:t>stage</w:t>
      </w:r>
      <w:r w:rsidRPr="00783798">
        <w:rPr>
          <w:rFonts w:cs="Times New Roman"/>
        </w:rPr>
        <w:t xml:space="preserve"> depend on alternatives to consent-based processing for research purposes. </w:t>
      </w:r>
      <w:r w:rsidR="002553BE" w:rsidRPr="00783798">
        <w:rPr>
          <w:rFonts w:cs="Times New Roman"/>
        </w:rPr>
        <w:t xml:space="preserve"> </w:t>
      </w:r>
      <w:r w:rsidR="00812D1B" w:rsidRPr="00783798">
        <w:rPr>
          <w:rFonts w:cs="Times New Roman"/>
        </w:rPr>
        <w:t xml:space="preserve">Article 7 of the </w:t>
      </w:r>
      <w:r w:rsidR="0053665C" w:rsidRPr="00783798">
        <w:rPr>
          <w:rFonts w:cs="Times New Roman"/>
        </w:rPr>
        <w:t xml:space="preserve">current </w:t>
      </w:r>
      <w:r w:rsidR="00812D1B" w:rsidRPr="00783798">
        <w:rPr>
          <w:rFonts w:cs="Times New Roman"/>
        </w:rPr>
        <w:t>EU Directive states that personal data may be processed only if the data subject has unambiguously given his consent or the processing is necessary for the public interest. According</w:t>
      </w:r>
      <w:r w:rsidR="002522A3" w:rsidRPr="00783798">
        <w:rPr>
          <w:rFonts w:cs="Times New Roman"/>
        </w:rPr>
        <w:t>ly, the recitals (cf. 34) allow</w:t>
      </w:r>
      <w:r w:rsidR="00812D1B" w:rsidRPr="00783798">
        <w:rPr>
          <w:rFonts w:cs="Times New Roman"/>
        </w:rPr>
        <w:t xml:space="preserve"> processing of sensitive categories of personal data without consent if important reasons of pu</w:t>
      </w:r>
      <w:r w:rsidRPr="00783798">
        <w:rPr>
          <w:rFonts w:cs="Times New Roman"/>
        </w:rPr>
        <w:t xml:space="preserve">blic interest justify it, as </w:t>
      </w:r>
      <w:r w:rsidR="00066816" w:rsidRPr="00783798">
        <w:rPr>
          <w:rFonts w:cs="Times New Roman"/>
        </w:rPr>
        <w:t>scientific research</w:t>
      </w:r>
      <w:r w:rsidR="00812D1B" w:rsidRPr="00783798">
        <w:rPr>
          <w:rFonts w:cs="Times New Roman"/>
        </w:rPr>
        <w:t xml:space="preserve">. </w:t>
      </w:r>
      <w:r w:rsidR="00B460C1" w:rsidRPr="00783798">
        <w:rPr>
          <w:rFonts w:cs="Times New Roman"/>
        </w:rPr>
        <w:t xml:space="preserve">The dimension of necessity and public interest as an alternative to consent implies a balancing of interests between the survey’s societal value and possible inconveniences for the data subjects. </w:t>
      </w:r>
      <w:r w:rsidR="00EF6390" w:rsidRPr="00783798">
        <w:rPr>
          <w:rFonts w:cs="Times New Roman"/>
        </w:rPr>
        <w:t>When it comes to non-respondents, probable disadvantages</w:t>
      </w:r>
      <w:r w:rsidR="00B460C1" w:rsidRPr="00783798">
        <w:rPr>
          <w:rFonts w:cs="Times New Roman"/>
        </w:rPr>
        <w:t xml:space="preserve"> </w:t>
      </w:r>
      <w:r w:rsidR="00DA794A" w:rsidRPr="00783798">
        <w:rPr>
          <w:rFonts w:cs="Times New Roman"/>
        </w:rPr>
        <w:t>include</w:t>
      </w:r>
      <w:r w:rsidR="00B460C1" w:rsidRPr="00783798">
        <w:rPr>
          <w:rFonts w:cs="Times New Roman"/>
        </w:rPr>
        <w:t xml:space="preserve"> </w:t>
      </w:r>
      <w:r w:rsidR="00DA794A" w:rsidRPr="00783798">
        <w:rPr>
          <w:rFonts w:cs="Times New Roman"/>
        </w:rPr>
        <w:t>the underlying premise</w:t>
      </w:r>
      <w:r w:rsidR="00B460C1" w:rsidRPr="00783798">
        <w:rPr>
          <w:rFonts w:cs="Times New Roman"/>
        </w:rPr>
        <w:t xml:space="preserve"> that they are being studied despite th</w:t>
      </w:r>
      <w:r w:rsidR="00DA794A" w:rsidRPr="00783798">
        <w:rPr>
          <w:rFonts w:cs="Times New Roman"/>
        </w:rPr>
        <w:t xml:space="preserve">eir </w:t>
      </w:r>
      <w:r w:rsidR="00B460C1" w:rsidRPr="00783798">
        <w:rPr>
          <w:rFonts w:cs="Times New Roman"/>
        </w:rPr>
        <w:t>refus</w:t>
      </w:r>
      <w:r w:rsidR="00DA794A" w:rsidRPr="00783798">
        <w:rPr>
          <w:rFonts w:cs="Times New Roman"/>
        </w:rPr>
        <w:t>al</w:t>
      </w:r>
      <w:r w:rsidR="006B4432" w:rsidRPr="00783798">
        <w:rPr>
          <w:rFonts w:cs="Times New Roman"/>
        </w:rPr>
        <w:t xml:space="preserve"> to take part in the survey</w:t>
      </w:r>
      <w:r w:rsidR="00B460C1" w:rsidRPr="00783798">
        <w:rPr>
          <w:rFonts w:cs="Times New Roman"/>
        </w:rPr>
        <w:t xml:space="preserve"> and presumably </w:t>
      </w:r>
      <w:r w:rsidR="00DA794A" w:rsidRPr="00783798">
        <w:rPr>
          <w:rFonts w:cs="Times New Roman"/>
        </w:rPr>
        <w:t>the</w:t>
      </w:r>
      <w:r w:rsidR="006B4432" w:rsidRPr="00783798">
        <w:rPr>
          <w:rFonts w:cs="Times New Roman"/>
        </w:rPr>
        <w:t>ir</w:t>
      </w:r>
      <w:r w:rsidR="00DA794A" w:rsidRPr="00783798">
        <w:rPr>
          <w:rFonts w:cs="Times New Roman"/>
        </w:rPr>
        <w:t xml:space="preserve"> </w:t>
      </w:r>
      <w:r w:rsidR="00B460C1" w:rsidRPr="00783798">
        <w:rPr>
          <w:rFonts w:cs="Times New Roman"/>
        </w:rPr>
        <w:t>expect</w:t>
      </w:r>
      <w:r w:rsidR="00DA794A" w:rsidRPr="00783798">
        <w:rPr>
          <w:rFonts w:cs="Times New Roman"/>
        </w:rPr>
        <w:t>ance that</w:t>
      </w:r>
      <w:r w:rsidR="00B460C1" w:rsidRPr="00783798">
        <w:rPr>
          <w:rFonts w:cs="Times New Roman"/>
        </w:rPr>
        <w:t xml:space="preserve"> the researcher </w:t>
      </w:r>
      <w:r w:rsidR="00DA794A" w:rsidRPr="00783798">
        <w:rPr>
          <w:rFonts w:cs="Times New Roman"/>
        </w:rPr>
        <w:t xml:space="preserve">does </w:t>
      </w:r>
      <w:r w:rsidR="008D53E5" w:rsidRPr="00783798">
        <w:rPr>
          <w:rFonts w:cs="Times New Roman"/>
        </w:rPr>
        <w:t xml:space="preserve">not </w:t>
      </w:r>
      <w:r w:rsidR="00B460C1" w:rsidRPr="00783798">
        <w:rPr>
          <w:rFonts w:cs="Times New Roman"/>
        </w:rPr>
        <w:t xml:space="preserve">include them at all. </w:t>
      </w:r>
      <w:r w:rsidR="00DA794A" w:rsidRPr="00783798">
        <w:rPr>
          <w:rFonts w:cs="Times New Roman"/>
        </w:rPr>
        <w:t xml:space="preserve">Furthermore, </w:t>
      </w:r>
      <w:r w:rsidR="00B460C1" w:rsidRPr="00783798">
        <w:rPr>
          <w:rFonts w:cs="Times New Roman"/>
        </w:rPr>
        <w:t xml:space="preserve">relevant factors </w:t>
      </w:r>
      <w:r w:rsidR="00DA794A" w:rsidRPr="00783798">
        <w:rPr>
          <w:rFonts w:cs="Times New Roman"/>
        </w:rPr>
        <w:t xml:space="preserve">of disadvantages </w:t>
      </w:r>
      <w:r w:rsidR="00B460C1" w:rsidRPr="00783798">
        <w:rPr>
          <w:rFonts w:cs="Times New Roman"/>
        </w:rPr>
        <w:t xml:space="preserve">are for instance </w:t>
      </w:r>
      <w:r w:rsidR="00EF6390" w:rsidRPr="00783798">
        <w:rPr>
          <w:rFonts w:cs="Times New Roman"/>
        </w:rPr>
        <w:t xml:space="preserve">whether data is considered </w:t>
      </w:r>
      <w:r w:rsidRPr="00783798">
        <w:rPr>
          <w:rFonts w:cs="Times New Roman"/>
        </w:rPr>
        <w:t xml:space="preserve">to be </w:t>
      </w:r>
      <w:r w:rsidR="00B460C1" w:rsidRPr="00783798">
        <w:rPr>
          <w:rFonts w:cs="Times New Roman"/>
        </w:rPr>
        <w:t xml:space="preserve">sensitive, </w:t>
      </w:r>
      <w:r w:rsidR="00EF6390" w:rsidRPr="00783798">
        <w:rPr>
          <w:rFonts w:cs="Times New Roman"/>
        </w:rPr>
        <w:t>which</w:t>
      </w:r>
      <w:r w:rsidR="00B460C1" w:rsidRPr="00783798">
        <w:rPr>
          <w:rFonts w:cs="Times New Roman"/>
        </w:rPr>
        <w:t xml:space="preserve"> data source</w:t>
      </w:r>
      <w:r w:rsidR="00EF6390" w:rsidRPr="00783798">
        <w:rPr>
          <w:rFonts w:cs="Times New Roman"/>
        </w:rPr>
        <w:t xml:space="preserve"> is used</w:t>
      </w:r>
      <w:r w:rsidR="00B460C1" w:rsidRPr="00783798">
        <w:rPr>
          <w:rFonts w:cs="Times New Roman"/>
        </w:rPr>
        <w:t xml:space="preserve"> (e.g., administrative data subject to professional secrecy or publicly available data), the degree of </w:t>
      </w:r>
      <w:proofErr w:type="spellStart"/>
      <w:r w:rsidR="00B460C1" w:rsidRPr="00783798">
        <w:rPr>
          <w:rFonts w:cs="Times New Roman"/>
        </w:rPr>
        <w:t>identifiab</w:t>
      </w:r>
      <w:r w:rsidR="00EF6390" w:rsidRPr="00783798">
        <w:rPr>
          <w:rFonts w:cs="Times New Roman"/>
        </w:rPr>
        <w:t>ility</w:t>
      </w:r>
      <w:proofErr w:type="spellEnd"/>
      <w:r w:rsidR="00EF6390" w:rsidRPr="00783798">
        <w:rPr>
          <w:rFonts w:cs="Times New Roman"/>
        </w:rPr>
        <w:t xml:space="preserve">, </w:t>
      </w:r>
      <w:r w:rsidRPr="00783798">
        <w:rPr>
          <w:rFonts w:cs="Times New Roman"/>
        </w:rPr>
        <w:t xml:space="preserve">implemented safeguards </w:t>
      </w:r>
      <w:r w:rsidR="00EF6390" w:rsidRPr="00783798">
        <w:rPr>
          <w:rFonts w:cs="Times New Roman"/>
        </w:rPr>
        <w:t xml:space="preserve">and who </w:t>
      </w:r>
      <w:r w:rsidR="000B5B8C" w:rsidRPr="00783798">
        <w:rPr>
          <w:rFonts w:cs="Times New Roman"/>
        </w:rPr>
        <w:t>have</w:t>
      </w:r>
      <w:r w:rsidR="00EF6390" w:rsidRPr="00783798">
        <w:rPr>
          <w:rFonts w:cs="Times New Roman"/>
        </w:rPr>
        <w:t xml:space="preserve"> access to</w:t>
      </w:r>
      <w:r w:rsidR="00B460C1" w:rsidRPr="00783798">
        <w:rPr>
          <w:rFonts w:cs="Times New Roman"/>
        </w:rPr>
        <w:t xml:space="preserve"> identifiable data</w:t>
      </w:r>
      <w:r w:rsidR="00EF6390" w:rsidRPr="00783798">
        <w:rPr>
          <w:rFonts w:cs="Times New Roman"/>
        </w:rPr>
        <w:t>, for how long a period</w:t>
      </w:r>
      <w:r w:rsidR="00B460C1" w:rsidRPr="00783798">
        <w:rPr>
          <w:rFonts w:cs="Times New Roman"/>
        </w:rPr>
        <w:t xml:space="preserve">. </w:t>
      </w:r>
      <w:r w:rsidR="004056F3" w:rsidRPr="00783798">
        <w:rPr>
          <w:rFonts w:cs="Times New Roman"/>
        </w:rPr>
        <w:t xml:space="preserve">When it comes to publicly available personal data, </w:t>
      </w:r>
      <w:r w:rsidR="00E60508" w:rsidRPr="00783798">
        <w:rPr>
          <w:rFonts w:cs="Times New Roman"/>
        </w:rPr>
        <w:t xml:space="preserve">which are “manifestly made public by the data subject”, </w:t>
      </w:r>
      <w:r w:rsidR="004056F3" w:rsidRPr="00783798">
        <w:rPr>
          <w:rFonts w:cs="Times New Roman"/>
        </w:rPr>
        <w:t xml:space="preserve">it is worth mentioning that the collection and use of such information is </w:t>
      </w:r>
      <w:r w:rsidR="00E60508" w:rsidRPr="00783798">
        <w:rPr>
          <w:rFonts w:cs="Times New Roman"/>
        </w:rPr>
        <w:t>exempted from consent both in the old EU Directive and the new GDPR</w:t>
      </w:r>
      <w:r w:rsidR="004056F3" w:rsidRPr="00783798">
        <w:rPr>
          <w:rFonts w:cs="Times New Roman"/>
        </w:rPr>
        <w:t xml:space="preserve"> (cf. GDPR, Article 9(2</w:t>
      </w:r>
      <w:proofErr w:type="gramStart"/>
      <w:r w:rsidR="004056F3" w:rsidRPr="00783798">
        <w:rPr>
          <w:rFonts w:cs="Times New Roman"/>
        </w:rPr>
        <w:t>)(</w:t>
      </w:r>
      <w:proofErr w:type="gramEnd"/>
      <w:r w:rsidR="004056F3" w:rsidRPr="00783798">
        <w:rPr>
          <w:rFonts w:cs="Times New Roman"/>
        </w:rPr>
        <w:t>e))</w:t>
      </w:r>
      <w:r w:rsidR="001554CF" w:rsidRPr="00783798">
        <w:rPr>
          <w:rFonts w:cs="Times New Roman"/>
        </w:rPr>
        <w:t>.</w:t>
      </w:r>
      <w:r w:rsidR="00E60508" w:rsidRPr="00783798">
        <w:rPr>
          <w:rFonts w:cs="Times New Roman"/>
        </w:rPr>
        <w:t xml:space="preserve"> </w:t>
      </w:r>
      <w:r w:rsidR="004056F3" w:rsidRPr="00783798">
        <w:rPr>
          <w:rFonts w:cs="Times New Roman"/>
        </w:rPr>
        <w:t xml:space="preserve">However, </w:t>
      </w:r>
      <w:r w:rsidR="00E60508" w:rsidRPr="00783798">
        <w:rPr>
          <w:rFonts w:cs="Times New Roman"/>
        </w:rPr>
        <w:t>ethical considerations around the individuals’ autonomy</w:t>
      </w:r>
      <w:r w:rsidR="000F79E2" w:rsidRPr="00783798">
        <w:rPr>
          <w:rFonts w:cs="Times New Roman"/>
        </w:rPr>
        <w:t xml:space="preserve"> and perception of privacy</w:t>
      </w:r>
      <w:r w:rsidR="00E60508" w:rsidRPr="00783798">
        <w:rPr>
          <w:rFonts w:cs="Times New Roman"/>
        </w:rPr>
        <w:t xml:space="preserve">, </w:t>
      </w:r>
      <w:r w:rsidR="004056F3" w:rsidRPr="00783798">
        <w:rPr>
          <w:rFonts w:cs="Times New Roman"/>
        </w:rPr>
        <w:t xml:space="preserve">still could </w:t>
      </w:r>
      <w:r w:rsidR="00E60508" w:rsidRPr="00783798">
        <w:rPr>
          <w:rFonts w:cs="Times New Roman"/>
        </w:rPr>
        <w:t xml:space="preserve">request that information should be provided to survey participants on collection and </w:t>
      </w:r>
      <w:r w:rsidR="004056F3" w:rsidRPr="00783798">
        <w:rPr>
          <w:rFonts w:cs="Times New Roman"/>
        </w:rPr>
        <w:t>use of</w:t>
      </w:r>
      <w:r w:rsidR="00E60508" w:rsidRPr="00783798">
        <w:rPr>
          <w:rFonts w:cs="Times New Roman"/>
        </w:rPr>
        <w:t xml:space="preserve"> e.g. </w:t>
      </w:r>
      <w:r w:rsidR="004056F3" w:rsidRPr="00783798">
        <w:rPr>
          <w:rFonts w:cs="Times New Roman"/>
        </w:rPr>
        <w:lastRenderedPageBreak/>
        <w:t xml:space="preserve">their </w:t>
      </w:r>
      <w:r w:rsidR="00E60508" w:rsidRPr="00783798">
        <w:rPr>
          <w:rFonts w:cs="Times New Roman"/>
        </w:rPr>
        <w:t xml:space="preserve">tweets, blogs or </w:t>
      </w:r>
      <w:r w:rsidR="004056F3" w:rsidRPr="00783798">
        <w:rPr>
          <w:rFonts w:cs="Times New Roman"/>
        </w:rPr>
        <w:t xml:space="preserve">utterances on </w:t>
      </w:r>
      <w:r w:rsidR="00E60508" w:rsidRPr="00783798">
        <w:rPr>
          <w:rFonts w:cs="Times New Roman"/>
        </w:rPr>
        <w:t>Facebook</w:t>
      </w:r>
      <w:r w:rsidR="00AC4B47" w:rsidRPr="00783798">
        <w:rPr>
          <w:rFonts w:cs="Times New Roman"/>
        </w:rPr>
        <w:t xml:space="preserve"> (</w:t>
      </w:r>
      <w:r w:rsidR="009161F0" w:rsidRPr="00783798">
        <w:rPr>
          <w:rFonts w:cs="Times New Roman"/>
        </w:rPr>
        <w:t>The Norwegian National Committees for Research Ethics 2015, ESOMAR 2015</w:t>
      </w:r>
      <w:r w:rsidR="00AC4B47" w:rsidRPr="00783798">
        <w:rPr>
          <w:rFonts w:cs="Times New Roman"/>
        </w:rPr>
        <w:t>)</w:t>
      </w:r>
      <w:r w:rsidR="00E60508" w:rsidRPr="00783798">
        <w:rPr>
          <w:rFonts w:cs="Times New Roman"/>
        </w:rPr>
        <w:t>.</w:t>
      </w:r>
    </w:p>
    <w:p w:rsidR="003E248D" w:rsidRPr="00783798" w:rsidRDefault="00053E3C" w:rsidP="006642F3">
      <w:pPr>
        <w:jc w:val="both"/>
        <w:rPr>
          <w:rFonts w:cs="Times New Roman"/>
        </w:rPr>
      </w:pPr>
      <w:r w:rsidRPr="00783798">
        <w:rPr>
          <w:rFonts w:cs="Times New Roman"/>
        </w:rPr>
        <w:t>Currently across Europe, the procedures regarding how</w:t>
      </w:r>
      <w:r w:rsidR="000F79E2" w:rsidRPr="00783798">
        <w:rPr>
          <w:rFonts w:cs="Times New Roman"/>
        </w:rPr>
        <w:t>, or whether,</w:t>
      </w:r>
      <w:r w:rsidRPr="00783798">
        <w:rPr>
          <w:rFonts w:cs="Times New Roman"/>
        </w:rPr>
        <w:t xml:space="preserve"> to permit non-consent based processing of (sensitive) personal data varies. </w:t>
      </w:r>
      <w:r w:rsidR="003E248D" w:rsidRPr="00783798">
        <w:rPr>
          <w:rFonts w:cs="Times New Roman"/>
        </w:rPr>
        <w:t xml:space="preserve">Some countries require a special license for the processing, </w:t>
      </w:r>
      <w:r w:rsidR="000F79E2" w:rsidRPr="00783798">
        <w:rPr>
          <w:rFonts w:cs="Times New Roman"/>
        </w:rPr>
        <w:t xml:space="preserve">or do not allow the processing at all without consent, </w:t>
      </w:r>
      <w:r w:rsidR="003E248D" w:rsidRPr="00783798">
        <w:rPr>
          <w:rFonts w:cs="Times New Roman"/>
        </w:rPr>
        <w:t>while others could consider the same collection of data to fall out</w:t>
      </w:r>
      <w:r w:rsidR="000F79E2" w:rsidRPr="00783798">
        <w:rPr>
          <w:rFonts w:cs="Times New Roman"/>
        </w:rPr>
        <w:t>side</w:t>
      </w:r>
      <w:r w:rsidR="003E248D" w:rsidRPr="00783798">
        <w:rPr>
          <w:rFonts w:cs="Times New Roman"/>
        </w:rPr>
        <w:t xml:space="preserve"> the scope of the law</w:t>
      </w:r>
      <w:r w:rsidR="000F79E2" w:rsidRPr="00783798">
        <w:rPr>
          <w:rFonts w:cs="Times New Roman"/>
        </w:rPr>
        <w:t>,</w:t>
      </w:r>
      <w:r w:rsidR="004B3C50" w:rsidRPr="00783798">
        <w:rPr>
          <w:rFonts w:cs="Times New Roman"/>
        </w:rPr>
        <w:t xml:space="preserve"> </w:t>
      </w:r>
      <w:r w:rsidR="000F79E2" w:rsidRPr="00783798">
        <w:rPr>
          <w:rFonts w:cs="Times New Roman"/>
        </w:rPr>
        <w:t xml:space="preserve">dependent of the national definition of personal data </w:t>
      </w:r>
      <w:r w:rsidR="004B3C50" w:rsidRPr="00783798">
        <w:rPr>
          <w:rFonts w:cs="Times New Roman"/>
        </w:rPr>
        <w:t>(</w:t>
      </w:r>
      <w:proofErr w:type="spellStart"/>
      <w:r w:rsidR="009161F0" w:rsidRPr="00783798">
        <w:rPr>
          <w:rFonts w:cs="Times New Roman"/>
        </w:rPr>
        <w:t>Bøe</w:t>
      </w:r>
      <w:proofErr w:type="spellEnd"/>
      <w:r w:rsidR="009161F0" w:rsidRPr="00783798">
        <w:rPr>
          <w:rFonts w:cs="Times New Roman"/>
        </w:rPr>
        <w:t xml:space="preserve"> et.al 2014</w:t>
      </w:r>
      <w:r w:rsidR="004B3C50" w:rsidRPr="00783798">
        <w:rPr>
          <w:rFonts w:cs="Times New Roman"/>
        </w:rPr>
        <w:t>)</w:t>
      </w:r>
      <w:r w:rsidR="003E248D" w:rsidRPr="00783798">
        <w:rPr>
          <w:rFonts w:cs="Times New Roman"/>
        </w:rPr>
        <w:t xml:space="preserve">. </w:t>
      </w:r>
      <w:r w:rsidR="00793378" w:rsidRPr="00783798">
        <w:rPr>
          <w:rFonts w:cs="Times New Roman"/>
        </w:rPr>
        <w:t>I</w:t>
      </w:r>
      <w:r w:rsidR="0029702F" w:rsidRPr="00783798">
        <w:rPr>
          <w:rFonts w:cs="Times New Roman"/>
        </w:rPr>
        <w:t>n addition</w:t>
      </w:r>
      <w:r w:rsidR="00EA6099" w:rsidRPr="00783798">
        <w:rPr>
          <w:rFonts w:cs="Times New Roman"/>
        </w:rPr>
        <w:t xml:space="preserve">, the basic </w:t>
      </w:r>
      <w:r w:rsidR="00812D1B" w:rsidRPr="00783798">
        <w:rPr>
          <w:rFonts w:cs="Times New Roman"/>
        </w:rPr>
        <w:t xml:space="preserve">provisions </w:t>
      </w:r>
      <w:r w:rsidR="004B2938" w:rsidRPr="00783798">
        <w:rPr>
          <w:rFonts w:cs="Times New Roman"/>
        </w:rPr>
        <w:t>of</w:t>
      </w:r>
      <w:r w:rsidR="00EA6099" w:rsidRPr="00783798">
        <w:rPr>
          <w:rFonts w:cs="Times New Roman"/>
        </w:rPr>
        <w:t xml:space="preserve"> the </w:t>
      </w:r>
      <w:r w:rsidR="00EC18F1" w:rsidRPr="00783798">
        <w:rPr>
          <w:rFonts w:cs="Times New Roman"/>
        </w:rPr>
        <w:t xml:space="preserve">current </w:t>
      </w:r>
      <w:r w:rsidR="00EA6099" w:rsidRPr="00783798">
        <w:rPr>
          <w:rFonts w:cs="Times New Roman"/>
        </w:rPr>
        <w:t xml:space="preserve">Directive </w:t>
      </w:r>
      <w:r w:rsidR="006B4432" w:rsidRPr="00783798">
        <w:rPr>
          <w:rFonts w:cs="Times New Roman"/>
        </w:rPr>
        <w:t xml:space="preserve">concerning alternatives to consent </w:t>
      </w:r>
      <w:r w:rsidR="00EA6099" w:rsidRPr="00783798">
        <w:rPr>
          <w:rFonts w:cs="Times New Roman"/>
        </w:rPr>
        <w:t>are</w:t>
      </w:r>
      <w:r w:rsidR="00812D1B" w:rsidRPr="00783798">
        <w:rPr>
          <w:rFonts w:cs="Times New Roman"/>
        </w:rPr>
        <w:t xml:space="preserve"> implemented in various ways, depending on whether consent is seen as the main rule for processing of personal data, or appears as one of a number of equal alternatives. </w:t>
      </w:r>
      <w:r w:rsidR="00EC18F1" w:rsidRPr="00783798">
        <w:rPr>
          <w:rFonts w:cs="Times New Roman"/>
        </w:rPr>
        <w:t xml:space="preserve">For researchers </w:t>
      </w:r>
      <w:r w:rsidR="007724E1" w:rsidRPr="00783798">
        <w:rPr>
          <w:rFonts w:cs="Times New Roman"/>
        </w:rPr>
        <w:t>conducting</w:t>
      </w:r>
      <w:r w:rsidR="00EC18F1" w:rsidRPr="00783798">
        <w:rPr>
          <w:rFonts w:cs="Times New Roman"/>
        </w:rPr>
        <w:t xml:space="preserve"> cross-national survey research, it is thus a challenging task to </w:t>
      </w:r>
      <w:r w:rsidR="009C5444" w:rsidRPr="00783798">
        <w:rPr>
          <w:rFonts w:cs="Times New Roman"/>
        </w:rPr>
        <w:t>review and comply with</w:t>
      </w:r>
      <w:r w:rsidR="00261724" w:rsidRPr="00783798">
        <w:rPr>
          <w:rFonts w:cs="Times New Roman"/>
        </w:rPr>
        <w:t xml:space="preserve"> </w:t>
      </w:r>
      <w:r w:rsidR="00EC18F1" w:rsidRPr="00783798">
        <w:rPr>
          <w:rFonts w:cs="Times New Roman"/>
        </w:rPr>
        <w:t xml:space="preserve">the national and international data protection regulations of each country where they plan to collect or process data. </w:t>
      </w:r>
      <w:r w:rsidR="009C5444" w:rsidRPr="00783798">
        <w:rPr>
          <w:rFonts w:cs="Times New Roman"/>
        </w:rPr>
        <w:t xml:space="preserve">Furthermore, they risk that in some countries, certain non-consent based projects will be impossible to </w:t>
      </w:r>
      <w:r w:rsidR="00504003" w:rsidRPr="00783798">
        <w:rPr>
          <w:rFonts w:cs="Times New Roman"/>
        </w:rPr>
        <w:t>carry out</w:t>
      </w:r>
      <w:r w:rsidR="009C5444" w:rsidRPr="00783798">
        <w:rPr>
          <w:rFonts w:cs="Times New Roman"/>
        </w:rPr>
        <w:t xml:space="preserve">. </w:t>
      </w:r>
      <w:r w:rsidR="00191633" w:rsidRPr="00783798">
        <w:rPr>
          <w:rFonts w:cs="Times New Roman"/>
        </w:rPr>
        <w:t>T</w:t>
      </w:r>
      <w:r w:rsidR="00504003" w:rsidRPr="00783798">
        <w:rPr>
          <w:rFonts w:cs="Times New Roman"/>
        </w:rPr>
        <w:t>hese</w:t>
      </w:r>
      <w:r w:rsidR="00EC18F1" w:rsidRPr="00783798">
        <w:rPr>
          <w:rFonts w:cs="Times New Roman"/>
        </w:rPr>
        <w:t xml:space="preserve"> </w:t>
      </w:r>
      <w:r w:rsidR="00216280" w:rsidRPr="00783798">
        <w:rPr>
          <w:rFonts w:cs="Times New Roman"/>
        </w:rPr>
        <w:t>challenges</w:t>
      </w:r>
      <w:r w:rsidR="00EC18F1" w:rsidRPr="00783798">
        <w:rPr>
          <w:rFonts w:cs="Times New Roman"/>
        </w:rPr>
        <w:t xml:space="preserve"> should hopefully prove a lot easier in the future, as one of the promise</w:t>
      </w:r>
      <w:r w:rsidR="007724E1" w:rsidRPr="00783798">
        <w:rPr>
          <w:rFonts w:cs="Times New Roman"/>
        </w:rPr>
        <w:t>s of the new GDPR is to harmonis</w:t>
      </w:r>
      <w:r w:rsidR="00EC18F1" w:rsidRPr="00783798">
        <w:rPr>
          <w:rFonts w:cs="Times New Roman"/>
        </w:rPr>
        <w:t>e both legislation and practice, to improve the possibilities for data access, data sharing and in general cross-national research.</w:t>
      </w:r>
      <w:r w:rsidR="007724E1" w:rsidRPr="00783798">
        <w:rPr>
          <w:rFonts w:cs="Times New Roman"/>
        </w:rPr>
        <w:t xml:space="preserve"> </w:t>
      </w:r>
    </w:p>
    <w:p w:rsidR="002C0D02" w:rsidRPr="00783798" w:rsidRDefault="00523199" w:rsidP="006642F3">
      <w:pPr>
        <w:jc w:val="both"/>
        <w:rPr>
          <w:rFonts w:cs="Times New Roman"/>
        </w:rPr>
      </w:pPr>
      <w:r w:rsidRPr="00783798">
        <w:rPr>
          <w:rFonts w:cs="Times New Roman"/>
        </w:rPr>
        <w:t>T</w:t>
      </w:r>
      <w:r w:rsidR="00E47EEE" w:rsidRPr="00783798">
        <w:rPr>
          <w:rFonts w:cs="Times New Roman"/>
        </w:rPr>
        <w:t>he Regulation has luckily turned out to be fairly research-friendly. T</w:t>
      </w:r>
      <w:r w:rsidR="00802017" w:rsidRPr="00783798">
        <w:rPr>
          <w:rFonts w:cs="Times New Roman"/>
        </w:rPr>
        <w:t xml:space="preserve">he most important special provisions from the Directive are continued, clarified and strengthened. Amongst other this applies to the possibility to process personal data based on other grounds than consent. The Regulation states </w:t>
      </w:r>
      <w:r w:rsidR="009724B2" w:rsidRPr="00783798">
        <w:rPr>
          <w:rFonts w:cs="Times New Roman"/>
        </w:rPr>
        <w:t xml:space="preserve">e.g. </w:t>
      </w:r>
      <w:r w:rsidR="00802017" w:rsidRPr="00783798">
        <w:rPr>
          <w:rFonts w:cs="Times New Roman"/>
        </w:rPr>
        <w:t xml:space="preserve">that </w:t>
      </w:r>
      <w:r w:rsidR="009724B2" w:rsidRPr="00783798">
        <w:rPr>
          <w:rFonts w:cs="Times New Roman"/>
        </w:rPr>
        <w:t>special categories of personal data can be processed if necessary for r</w:t>
      </w:r>
      <w:r w:rsidR="009161F0" w:rsidRPr="00783798">
        <w:rPr>
          <w:rFonts w:cs="Times New Roman"/>
        </w:rPr>
        <w:t>esearch purposes (cf. Article 9</w:t>
      </w:r>
      <w:r w:rsidR="004F3710" w:rsidRPr="00783798">
        <w:rPr>
          <w:rFonts w:cs="Times New Roman"/>
        </w:rPr>
        <w:t>(</w:t>
      </w:r>
      <w:r w:rsidR="009724B2" w:rsidRPr="00783798">
        <w:rPr>
          <w:rFonts w:cs="Times New Roman"/>
        </w:rPr>
        <w:t>2</w:t>
      </w:r>
      <w:r w:rsidR="009161F0" w:rsidRPr="00783798">
        <w:rPr>
          <w:rFonts w:cs="Times New Roman"/>
        </w:rPr>
        <w:t>)(</w:t>
      </w:r>
      <w:r w:rsidR="009724B2" w:rsidRPr="00783798">
        <w:rPr>
          <w:rFonts w:cs="Times New Roman"/>
        </w:rPr>
        <w:t xml:space="preserve">j)), and that </w:t>
      </w:r>
      <w:r w:rsidR="00802017" w:rsidRPr="00783798">
        <w:rPr>
          <w:rFonts w:cs="Times New Roman"/>
        </w:rPr>
        <w:t>additional processing for research purposes generally will be considered compatible with the original purpose, and, therefore, exempt from specific consent (Article 5</w:t>
      </w:r>
      <w:r w:rsidR="004F3710" w:rsidRPr="00783798">
        <w:rPr>
          <w:rFonts w:cs="Times New Roman"/>
        </w:rPr>
        <w:t>(</w:t>
      </w:r>
      <w:r w:rsidR="009724B2" w:rsidRPr="00783798">
        <w:rPr>
          <w:rFonts w:cs="Times New Roman"/>
        </w:rPr>
        <w:t>1</w:t>
      </w:r>
      <w:r w:rsidR="009161F0" w:rsidRPr="00783798">
        <w:rPr>
          <w:rFonts w:cs="Times New Roman"/>
        </w:rPr>
        <w:t>)(</w:t>
      </w:r>
      <w:r w:rsidR="009724B2" w:rsidRPr="00783798">
        <w:rPr>
          <w:rFonts w:cs="Times New Roman"/>
        </w:rPr>
        <w:t>b)</w:t>
      </w:r>
      <w:r w:rsidR="00802017" w:rsidRPr="00783798">
        <w:rPr>
          <w:rFonts w:cs="Times New Roman"/>
        </w:rPr>
        <w:t xml:space="preserve">). </w:t>
      </w:r>
      <w:r w:rsidR="000E2F2F" w:rsidRPr="00783798">
        <w:rPr>
          <w:rFonts w:cs="Times New Roman"/>
        </w:rPr>
        <w:t>However, these</w:t>
      </w:r>
      <w:r w:rsidR="009724B2" w:rsidRPr="00783798">
        <w:rPr>
          <w:rFonts w:cs="Times New Roman"/>
        </w:rPr>
        <w:t xml:space="preserve"> </w:t>
      </w:r>
      <w:r w:rsidR="004F3710" w:rsidRPr="00783798">
        <w:rPr>
          <w:rFonts w:cs="Times New Roman"/>
        </w:rPr>
        <w:t xml:space="preserve">special </w:t>
      </w:r>
      <w:r w:rsidR="009724B2" w:rsidRPr="00783798">
        <w:rPr>
          <w:rFonts w:cs="Times New Roman"/>
        </w:rPr>
        <w:t xml:space="preserve">exemptions for research purposes </w:t>
      </w:r>
      <w:r w:rsidR="004F3710" w:rsidRPr="00783798">
        <w:rPr>
          <w:rFonts w:cs="Times New Roman"/>
        </w:rPr>
        <w:t>requ</w:t>
      </w:r>
      <w:r w:rsidR="00532547" w:rsidRPr="00783798">
        <w:rPr>
          <w:rFonts w:cs="Times New Roman"/>
        </w:rPr>
        <w:t>ire</w:t>
      </w:r>
      <w:r w:rsidR="004B2938" w:rsidRPr="00783798">
        <w:rPr>
          <w:rFonts w:cs="Times New Roman"/>
        </w:rPr>
        <w:t xml:space="preserve"> </w:t>
      </w:r>
      <w:r w:rsidR="004F3710" w:rsidRPr="00783798">
        <w:rPr>
          <w:rFonts w:cs="Times New Roman"/>
        </w:rPr>
        <w:t xml:space="preserve">appropriate </w:t>
      </w:r>
      <w:r w:rsidR="009724B2" w:rsidRPr="00783798">
        <w:rPr>
          <w:rFonts w:cs="Times New Roman"/>
        </w:rPr>
        <w:t>safeguard</w:t>
      </w:r>
      <w:r w:rsidR="004F3710" w:rsidRPr="00783798">
        <w:rPr>
          <w:rFonts w:cs="Times New Roman"/>
        </w:rPr>
        <w:t>s</w:t>
      </w:r>
      <w:r w:rsidR="009724B2" w:rsidRPr="00783798">
        <w:rPr>
          <w:rFonts w:cs="Times New Roman"/>
        </w:rPr>
        <w:t xml:space="preserve"> </w:t>
      </w:r>
      <w:r w:rsidR="008F4186" w:rsidRPr="00783798">
        <w:rPr>
          <w:rFonts w:cs="Times New Roman"/>
        </w:rPr>
        <w:t xml:space="preserve">to be </w:t>
      </w:r>
      <w:r w:rsidR="00DD0203" w:rsidRPr="00783798">
        <w:rPr>
          <w:rFonts w:cs="Times New Roman"/>
        </w:rPr>
        <w:t>implemented</w:t>
      </w:r>
      <w:r w:rsidR="00D74A5A" w:rsidRPr="00783798">
        <w:rPr>
          <w:rFonts w:cs="Times New Roman"/>
        </w:rPr>
        <w:t>. In particular</w:t>
      </w:r>
      <w:r w:rsidR="00DD0203" w:rsidRPr="00783798">
        <w:rPr>
          <w:rFonts w:cs="Times New Roman"/>
        </w:rPr>
        <w:t xml:space="preserve">, technical and organisational measures must be in place in order to ensure that only the personal data necessary for the research purposes are being processed, in accordance with the principle of data minimisation. </w:t>
      </w:r>
      <w:r w:rsidR="003E248D" w:rsidRPr="00783798">
        <w:rPr>
          <w:rFonts w:cs="Times New Roman"/>
        </w:rPr>
        <w:t xml:space="preserve">This involves that </w:t>
      </w:r>
      <w:r w:rsidR="00FA5E06" w:rsidRPr="00783798">
        <w:rPr>
          <w:rFonts w:cs="Times New Roman"/>
        </w:rPr>
        <w:t xml:space="preserve">the personal data should be adequate, relevant and limited to what is necessary to the purposes for which they are processed (cf. Article 5(c)). </w:t>
      </w:r>
      <w:r w:rsidR="00AC4B47" w:rsidRPr="00783798">
        <w:rPr>
          <w:rFonts w:cs="Times New Roman"/>
        </w:rPr>
        <w:t>D</w:t>
      </w:r>
      <w:r w:rsidR="00FA5E06" w:rsidRPr="00783798">
        <w:rPr>
          <w:rFonts w:cs="Times New Roman"/>
        </w:rPr>
        <w:t xml:space="preserve">ata minimisation </w:t>
      </w:r>
      <w:r w:rsidR="00DE7C37" w:rsidRPr="00783798">
        <w:rPr>
          <w:rFonts w:cs="Times New Roman"/>
        </w:rPr>
        <w:t xml:space="preserve">measures may include </w:t>
      </w:r>
      <w:proofErr w:type="spellStart"/>
      <w:r w:rsidR="00DE7C37" w:rsidRPr="00783798">
        <w:rPr>
          <w:rFonts w:cs="Times New Roman"/>
        </w:rPr>
        <w:t>pseudonymisation</w:t>
      </w:r>
      <w:proofErr w:type="spellEnd"/>
      <w:r w:rsidR="00CD0AD0" w:rsidRPr="00783798">
        <w:rPr>
          <w:rStyle w:val="Fotnotereferanse"/>
          <w:rFonts w:cs="Times New Roman"/>
        </w:rPr>
        <w:footnoteReference w:id="1"/>
      </w:r>
      <w:r w:rsidR="00AA5B02" w:rsidRPr="00783798">
        <w:rPr>
          <w:rFonts w:cs="Times New Roman"/>
        </w:rPr>
        <w:t xml:space="preserve">, </w:t>
      </w:r>
      <w:r w:rsidR="000E2F2F" w:rsidRPr="00783798">
        <w:rPr>
          <w:rFonts w:cs="Times New Roman"/>
        </w:rPr>
        <w:t xml:space="preserve">provided that </w:t>
      </w:r>
      <w:r w:rsidR="00AA5B02" w:rsidRPr="00783798">
        <w:rPr>
          <w:rFonts w:cs="Times New Roman"/>
        </w:rPr>
        <w:t>the research pur</w:t>
      </w:r>
      <w:r w:rsidR="000E2F2F" w:rsidRPr="00783798">
        <w:rPr>
          <w:rFonts w:cs="Times New Roman"/>
        </w:rPr>
        <w:t>poses can be fulfilled in that</w:t>
      </w:r>
      <w:r w:rsidR="00AA5B02" w:rsidRPr="00783798">
        <w:rPr>
          <w:rFonts w:cs="Times New Roman"/>
        </w:rPr>
        <w:t xml:space="preserve"> manner</w:t>
      </w:r>
      <w:r w:rsidR="00D74A5A" w:rsidRPr="00783798">
        <w:rPr>
          <w:rFonts w:cs="Times New Roman"/>
        </w:rPr>
        <w:t xml:space="preserve"> (cf. Article 89(1)).</w:t>
      </w:r>
      <w:r w:rsidR="00DE7C37" w:rsidRPr="00783798">
        <w:rPr>
          <w:rFonts w:cs="Times New Roman"/>
        </w:rPr>
        <w:t xml:space="preserve"> </w:t>
      </w:r>
      <w:r w:rsidR="00050F04" w:rsidRPr="00783798">
        <w:rPr>
          <w:rFonts w:cs="Times New Roman"/>
        </w:rPr>
        <w:t xml:space="preserve">The use of </w:t>
      </w:r>
      <w:proofErr w:type="spellStart"/>
      <w:r w:rsidR="00050F04" w:rsidRPr="00783798">
        <w:rPr>
          <w:rFonts w:cs="Times New Roman"/>
        </w:rPr>
        <w:t>pseudonymisation</w:t>
      </w:r>
      <w:proofErr w:type="spellEnd"/>
      <w:r w:rsidR="00050F04" w:rsidRPr="00783798">
        <w:rPr>
          <w:rFonts w:cs="Times New Roman"/>
        </w:rPr>
        <w:t xml:space="preserve"> techniques are thus not always required, but to a large extent encouraged, as a best practice when personal data are processed</w:t>
      </w:r>
      <w:r w:rsidR="000464BC" w:rsidRPr="00783798">
        <w:rPr>
          <w:rFonts w:cs="Times New Roman"/>
        </w:rPr>
        <w:t xml:space="preserve"> (</w:t>
      </w:r>
      <w:proofErr w:type="spellStart"/>
      <w:r w:rsidR="000464BC" w:rsidRPr="00783798">
        <w:rPr>
          <w:rFonts w:cs="Times New Roman"/>
        </w:rPr>
        <w:t>Maldoff</w:t>
      </w:r>
      <w:proofErr w:type="spellEnd"/>
      <w:r w:rsidR="009161F0" w:rsidRPr="00783798">
        <w:rPr>
          <w:rFonts w:cs="Times New Roman"/>
        </w:rPr>
        <w:t xml:space="preserve"> 2016</w:t>
      </w:r>
      <w:r w:rsidR="000464BC" w:rsidRPr="00783798">
        <w:rPr>
          <w:rFonts w:cs="Times New Roman"/>
        </w:rPr>
        <w:t>)</w:t>
      </w:r>
      <w:r w:rsidR="00050F04" w:rsidRPr="00783798">
        <w:rPr>
          <w:rFonts w:cs="Times New Roman"/>
        </w:rPr>
        <w:t xml:space="preserve">. Hence, </w:t>
      </w:r>
      <w:r w:rsidR="00504003" w:rsidRPr="00783798">
        <w:rPr>
          <w:rFonts w:cs="Times New Roman"/>
        </w:rPr>
        <w:t xml:space="preserve">within survey research, one should make sure that </w:t>
      </w:r>
      <w:r w:rsidR="00FA0A98" w:rsidRPr="00783798">
        <w:rPr>
          <w:rFonts w:cs="Times New Roman"/>
        </w:rPr>
        <w:t>a</w:t>
      </w:r>
      <w:r w:rsidR="00050F04" w:rsidRPr="00783798">
        <w:rPr>
          <w:rFonts w:cs="Times New Roman"/>
        </w:rPr>
        <w:t xml:space="preserve"> master file linking (non-)respondents’ names, addresses or phone numbers with their corresponding internally-generated ID numbers </w:t>
      </w:r>
      <w:r w:rsidR="00504003" w:rsidRPr="00783798">
        <w:rPr>
          <w:rFonts w:cs="Times New Roman"/>
        </w:rPr>
        <w:t>is</w:t>
      </w:r>
      <w:r w:rsidR="00050F04" w:rsidRPr="00783798">
        <w:rPr>
          <w:rFonts w:cs="Times New Roman"/>
        </w:rPr>
        <w:t xml:space="preserve"> kept secure with access limited to a small number, e.g. sampling or panel management staff</w:t>
      </w:r>
      <w:r w:rsidR="00FA0A98" w:rsidRPr="00783798">
        <w:rPr>
          <w:rFonts w:cs="Times New Roman"/>
        </w:rPr>
        <w:t xml:space="preserve"> (ESOMAR 2016)</w:t>
      </w:r>
      <w:r w:rsidR="00050F04" w:rsidRPr="00783798">
        <w:rPr>
          <w:rFonts w:cs="Times New Roman"/>
        </w:rPr>
        <w:t xml:space="preserve">. </w:t>
      </w:r>
      <w:r w:rsidR="00FA0A98" w:rsidRPr="00783798">
        <w:rPr>
          <w:rFonts w:cs="Times New Roman"/>
        </w:rPr>
        <w:t>A short as possible retention period should apply to personal data about non-respondents. However, it is important not to delete the personal data before all quality checks regarding accuracy and data integrity privacy principle are performed</w:t>
      </w:r>
      <w:r w:rsidR="00547A61" w:rsidRPr="00783798">
        <w:rPr>
          <w:rFonts w:cs="Times New Roman"/>
        </w:rPr>
        <w:t xml:space="preserve"> (ibid)</w:t>
      </w:r>
      <w:r w:rsidR="00FA0A98" w:rsidRPr="00783798">
        <w:rPr>
          <w:rFonts w:cs="Times New Roman"/>
        </w:rPr>
        <w:t xml:space="preserve">. </w:t>
      </w:r>
    </w:p>
    <w:p w:rsidR="00A06836" w:rsidRPr="00783798" w:rsidRDefault="00A06836" w:rsidP="006642F3">
      <w:pPr>
        <w:jc w:val="both"/>
        <w:rPr>
          <w:rFonts w:cs="Times New Roman"/>
        </w:rPr>
      </w:pPr>
    </w:p>
    <w:p w:rsidR="002C0D02" w:rsidRPr="00783798" w:rsidRDefault="006000E7" w:rsidP="006642F3">
      <w:pPr>
        <w:jc w:val="both"/>
        <w:rPr>
          <w:rFonts w:cs="Times New Roman"/>
          <w:b/>
        </w:rPr>
      </w:pPr>
      <w:r w:rsidRPr="00783798">
        <w:rPr>
          <w:rFonts w:cs="Times New Roman"/>
          <w:b/>
        </w:rPr>
        <w:t>3.1</w:t>
      </w:r>
      <w:r w:rsidRPr="00783798">
        <w:rPr>
          <w:rFonts w:cs="Times New Roman"/>
          <w:b/>
        </w:rPr>
        <w:tab/>
      </w:r>
      <w:r w:rsidR="002C0D02" w:rsidRPr="00783798">
        <w:rPr>
          <w:rFonts w:cs="Times New Roman"/>
          <w:b/>
        </w:rPr>
        <w:t>NOTICE REQUIREMENT</w:t>
      </w:r>
    </w:p>
    <w:p w:rsidR="00E62240" w:rsidRPr="00783798" w:rsidRDefault="00802017" w:rsidP="006642F3">
      <w:pPr>
        <w:jc w:val="both"/>
        <w:rPr>
          <w:rFonts w:cs="Times New Roman"/>
        </w:rPr>
      </w:pPr>
      <w:r w:rsidRPr="00783798">
        <w:rPr>
          <w:rFonts w:cs="Times New Roman"/>
        </w:rPr>
        <w:lastRenderedPageBreak/>
        <w:t>Although controllers are not required to obtain the data subject’s consent for all processing for research purposes, they</w:t>
      </w:r>
      <w:r w:rsidR="007A2368" w:rsidRPr="00783798">
        <w:rPr>
          <w:rFonts w:cs="Times New Roman"/>
        </w:rPr>
        <w:t xml:space="preserve"> do however</w:t>
      </w:r>
      <w:r w:rsidRPr="00783798">
        <w:rPr>
          <w:rFonts w:cs="Times New Roman"/>
        </w:rPr>
        <w:t xml:space="preserve"> remain bound by the GDPR’s notice requirement. Article 12(1) </w:t>
      </w:r>
      <w:r w:rsidR="00532547" w:rsidRPr="00783798">
        <w:rPr>
          <w:rFonts w:cs="Times New Roman"/>
        </w:rPr>
        <w:t>state</w:t>
      </w:r>
      <w:r w:rsidRPr="00783798">
        <w:rPr>
          <w:rFonts w:cs="Times New Roman"/>
        </w:rPr>
        <w:t xml:space="preserve">s that “appropriate measures” </w:t>
      </w:r>
      <w:r w:rsidR="00532547" w:rsidRPr="00783798">
        <w:rPr>
          <w:rFonts w:cs="Times New Roman"/>
        </w:rPr>
        <w:t>must be</w:t>
      </w:r>
      <w:r w:rsidRPr="00783798">
        <w:rPr>
          <w:rFonts w:cs="Times New Roman"/>
        </w:rPr>
        <w:t xml:space="preserve"> taken to inform data subjects of the processing of personal data and the rights available to them. The information </w:t>
      </w:r>
      <w:r w:rsidR="00105A14" w:rsidRPr="00783798">
        <w:rPr>
          <w:rFonts w:cs="Times New Roman"/>
        </w:rPr>
        <w:t xml:space="preserve">should </w:t>
      </w:r>
      <w:r w:rsidRPr="00783798">
        <w:rPr>
          <w:rFonts w:cs="Times New Roman"/>
        </w:rPr>
        <w:t xml:space="preserve">be provided in writing, or by other means, where appropriately in electronic form. Controllers are required to provide this information in all circumstances, regardless of whether consent is the basis for processing, “in a concise, transparent, intelligible and easily accessible form, using clear and plain language”. Based on this provision, it would appear that the </w:t>
      </w:r>
      <w:r w:rsidR="00532547" w:rsidRPr="00783798">
        <w:rPr>
          <w:rFonts w:cs="Times New Roman"/>
        </w:rPr>
        <w:t xml:space="preserve">inclusion of </w:t>
      </w:r>
      <w:r w:rsidRPr="00783798">
        <w:rPr>
          <w:rFonts w:cs="Times New Roman"/>
        </w:rPr>
        <w:t xml:space="preserve">information </w:t>
      </w:r>
      <w:r w:rsidR="00532547" w:rsidRPr="00783798">
        <w:rPr>
          <w:rFonts w:cs="Times New Roman"/>
        </w:rPr>
        <w:t xml:space="preserve">in the invitation letter </w:t>
      </w:r>
      <w:r w:rsidRPr="00783798">
        <w:rPr>
          <w:rFonts w:cs="Times New Roman"/>
        </w:rPr>
        <w:t xml:space="preserve">on the use of various auxiliary data </w:t>
      </w:r>
      <w:r w:rsidR="00532547" w:rsidRPr="00783798">
        <w:rPr>
          <w:rFonts w:cs="Times New Roman"/>
        </w:rPr>
        <w:t xml:space="preserve">(on both non-respondents and respondents) </w:t>
      </w:r>
      <w:r w:rsidRPr="00783798">
        <w:rPr>
          <w:rFonts w:cs="Times New Roman"/>
        </w:rPr>
        <w:t>in survey research to a large extent will become an explicit</w:t>
      </w:r>
      <w:r w:rsidR="00BE0127" w:rsidRPr="00783798">
        <w:rPr>
          <w:rFonts w:cs="Times New Roman"/>
        </w:rPr>
        <w:t xml:space="preserve"> requirement. </w:t>
      </w:r>
    </w:p>
    <w:p w:rsidR="00504003" w:rsidRPr="00783798" w:rsidRDefault="00A06836" w:rsidP="005369DE">
      <w:pPr>
        <w:rPr>
          <w:rFonts w:cs="Times New Roman"/>
        </w:rPr>
      </w:pPr>
      <w:r w:rsidRPr="00783798">
        <w:rPr>
          <w:rFonts w:cs="Times New Roman"/>
        </w:rPr>
        <w:t>The notice should include the controller’s identity and contact information, the intended purposes of the processing of personal data, and the data subject’s rights to access, recti</w:t>
      </w:r>
      <w:r w:rsidR="007724E1" w:rsidRPr="00783798">
        <w:rPr>
          <w:rFonts w:cs="Times New Roman"/>
        </w:rPr>
        <w:t>fication, erasures and object</w:t>
      </w:r>
      <w:r w:rsidRPr="00783798">
        <w:rPr>
          <w:rFonts w:cs="Times New Roman"/>
        </w:rPr>
        <w:t xml:space="preserve"> to processing, as well as the </w:t>
      </w:r>
      <w:r w:rsidR="00E62240" w:rsidRPr="00783798">
        <w:rPr>
          <w:rFonts w:cs="Times New Roman"/>
        </w:rPr>
        <w:t>“</w:t>
      </w:r>
      <w:r w:rsidRPr="00783798">
        <w:rPr>
          <w:rFonts w:cs="Times New Roman"/>
        </w:rPr>
        <w:t>period for which the personal data will be stored</w:t>
      </w:r>
      <w:r w:rsidR="00E62240" w:rsidRPr="00783798">
        <w:rPr>
          <w:rFonts w:cs="Times New Roman"/>
        </w:rPr>
        <w:t>”</w:t>
      </w:r>
      <w:r w:rsidRPr="00783798">
        <w:rPr>
          <w:rFonts w:cs="Times New Roman"/>
        </w:rPr>
        <w:t xml:space="preserve">, or </w:t>
      </w:r>
      <w:r w:rsidR="00E62240" w:rsidRPr="00783798">
        <w:rPr>
          <w:rFonts w:cs="Times New Roman"/>
        </w:rPr>
        <w:t>“</w:t>
      </w:r>
      <w:r w:rsidRPr="00783798">
        <w:rPr>
          <w:rFonts w:cs="Times New Roman"/>
        </w:rPr>
        <w:t>criteria used to determine that period</w:t>
      </w:r>
      <w:r w:rsidR="00E62240" w:rsidRPr="00783798">
        <w:rPr>
          <w:rFonts w:cs="Times New Roman"/>
        </w:rPr>
        <w:t>”</w:t>
      </w:r>
      <w:r w:rsidRPr="00783798">
        <w:rPr>
          <w:rFonts w:cs="Times New Roman"/>
        </w:rPr>
        <w:t xml:space="preserve"> (cf</w:t>
      </w:r>
      <w:r w:rsidR="00E62240" w:rsidRPr="00783798">
        <w:rPr>
          <w:rFonts w:cs="Times New Roman"/>
        </w:rPr>
        <w:t>.</w:t>
      </w:r>
      <w:r w:rsidRPr="00783798">
        <w:rPr>
          <w:rFonts w:cs="Times New Roman"/>
        </w:rPr>
        <w:t xml:space="preserve"> Article 13(2)).</w:t>
      </w:r>
      <w:r w:rsidR="00747436" w:rsidRPr="00783798">
        <w:rPr>
          <w:rFonts w:cs="Times New Roman"/>
        </w:rPr>
        <w:t xml:space="preserve"> </w:t>
      </w:r>
      <w:r w:rsidR="00547A61" w:rsidRPr="00783798">
        <w:rPr>
          <w:rFonts w:cs="Times New Roman"/>
        </w:rPr>
        <w:t>For researchers to fulfil this obligation</w:t>
      </w:r>
      <w:r w:rsidR="00747436" w:rsidRPr="00783798">
        <w:rPr>
          <w:rFonts w:cs="Times New Roman"/>
        </w:rPr>
        <w:t>, i</w:t>
      </w:r>
      <w:r w:rsidR="004F189E" w:rsidRPr="00783798">
        <w:rPr>
          <w:rFonts w:cs="Times New Roman"/>
        </w:rPr>
        <w:t xml:space="preserve">t will be decisive to find ways to inform the data subjects about the collection </w:t>
      </w:r>
      <w:r w:rsidR="00354F89" w:rsidRPr="00783798">
        <w:rPr>
          <w:rFonts w:cs="Times New Roman"/>
        </w:rPr>
        <w:t xml:space="preserve">and use </w:t>
      </w:r>
      <w:r w:rsidR="004F189E" w:rsidRPr="00783798">
        <w:rPr>
          <w:rFonts w:cs="Times New Roman"/>
        </w:rPr>
        <w:t xml:space="preserve">of auxiliary data </w:t>
      </w:r>
      <w:r w:rsidR="00354F89" w:rsidRPr="00783798">
        <w:rPr>
          <w:rFonts w:cs="Times New Roman"/>
        </w:rPr>
        <w:t xml:space="preserve">without impeding the research. Ideally, the collection of auxiliary data to adjust for nonresponse </w:t>
      </w:r>
      <w:r w:rsidR="00875715" w:rsidRPr="00783798">
        <w:rPr>
          <w:rFonts w:cs="Times New Roman"/>
        </w:rPr>
        <w:t xml:space="preserve">bias </w:t>
      </w:r>
      <w:r w:rsidR="00354F89" w:rsidRPr="00783798">
        <w:rPr>
          <w:rFonts w:cs="Times New Roman"/>
        </w:rPr>
        <w:t>should not result in a higher rate of non-respondents.</w:t>
      </w:r>
      <w:r w:rsidR="007724E1" w:rsidRPr="00783798">
        <w:rPr>
          <w:rFonts w:cs="Times New Roman"/>
        </w:rPr>
        <w:t xml:space="preserve"> </w:t>
      </w:r>
    </w:p>
    <w:p w:rsidR="007A2368" w:rsidRPr="00783798" w:rsidRDefault="00EF0989" w:rsidP="005369DE">
      <w:pPr>
        <w:rPr>
          <w:rFonts w:cs="Times New Roman"/>
        </w:rPr>
      </w:pPr>
      <w:r w:rsidRPr="00783798">
        <w:rPr>
          <w:rFonts w:cs="Times New Roman"/>
        </w:rPr>
        <w:t>However, a researcher may claim exemption from the notice requirement if providing notice would be “likely to render impossible or seriously impair the achievement of the [research] objectives”, provided that appropriate safeguards are in place, “including making the information publicly available” (Article 14(5</w:t>
      </w:r>
      <w:proofErr w:type="gramStart"/>
      <w:r w:rsidRPr="00783798">
        <w:rPr>
          <w:rFonts w:cs="Times New Roman"/>
        </w:rPr>
        <w:t>)(</w:t>
      </w:r>
      <w:proofErr w:type="gramEnd"/>
      <w:r w:rsidRPr="00783798">
        <w:rPr>
          <w:rFonts w:cs="Times New Roman"/>
        </w:rPr>
        <w:t xml:space="preserve">b)). </w:t>
      </w:r>
      <w:r w:rsidR="00F25B01" w:rsidRPr="00783798">
        <w:rPr>
          <w:rFonts w:cs="Times New Roman"/>
        </w:rPr>
        <w:t xml:space="preserve">On the same conditions, research could be exempted from the data subject’s rights to erasure of her/his personal data (Article 17(3)(d)), and a researcher could also override a data subject’s objection </w:t>
      </w:r>
      <w:r w:rsidR="00105A14" w:rsidRPr="00783798">
        <w:rPr>
          <w:rFonts w:cs="Times New Roman"/>
        </w:rPr>
        <w:t xml:space="preserve">to processing </w:t>
      </w:r>
      <w:r w:rsidR="00F25B01" w:rsidRPr="00783798">
        <w:rPr>
          <w:rFonts w:cs="Times New Roman"/>
        </w:rPr>
        <w:t>if justified by public interest with basis in Union or Member State law (Article 21(6)).</w:t>
      </w:r>
      <w:r w:rsidRPr="00783798">
        <w:rPr>
          <w:rFonts w:cs="Times New Roman"/>
        </w:rPr>
        <w:t xml:space="preserve"> </w:t>
      </w:r>
      <w:r w:rsidR="005369DE" w:rsidRPr="00783798">
        <w:rPr>
          <w:rFonts w:cs="Times New Roman"/>
        </w:rPr>
        <w:t>Otherwise, recital 33 states that controllers should act “in keeping with recognised ethical standards for scientific research”.</w:t>
      </w:r>
    </w:p>
    <w:p w:rsidR="00880318" w:rsidRPr="00783798" w:rsidRDefault="00880318" w:rsidP="005369DE">
      <w:pPr>
        <w:rPr>
          <w:rFonts w:cs="Times New Roman"/>
        </w:rPr>
      </w:pPr>
    </w:p>
    <w:p w:rsidR="00880318" w:rsidRPr="00783798" w:rsidRDefault="00880318" w:rsidP="006642F3">
      <w:pPr>
        <w:jc w:val="both"/>
        <w:rPr>
          <w:rFonts w:cs="Times New Roman"/>
          <w:b/>
        </w:rPr>
      </w:pPr>
      <w:r w:rsidRPr="00783798">
        <w:rPr>
          <w:rFonts w:cs="Times New Roman"/>
          <w:b/>
        </w:rPr>
        <w:t>4</w:t>
      </w:r>
      <w:r w:rsidRPr="00783798">
        <w:rPr>
          <w:rFonts w:cs="Times New Roman"/>
          <w:b/>
        </w:rPr>
        <w:tab/>
        <w:t>DISCUSSION</w:t>
      </w:r>
    </w:p>
    <w:p w:rsidR="00413E6D" w:rsidRPr="00783798" w:rsidRDefault="00880318" w:rsidP="006642F3">
      <w:pPr>
        <w:jc w:val="both"/>
        <w:rPr>
          <w:rFonts w:cs="Times New Roman"/>
        </w:rPr>
      </w:pPr>
      <w:r w:rsidRPr="00783798">
        <w:rPr>
          <w:rFonts w:cs="Times New Roman"/>
        </w:rPr>
        <w:t>T</w:t>
      </w:r>
      <w:r w:rsidR="00413E6D" w:rsidRPr="00783798">
        <w:rPr>
          <w:rFonts w:cs="Times New Roman"/>
        </w:rPr>
        <w:t xml:space="preserve">he new EU Regulation continues to give research a unique position in </w:t>
      </w:r>
      <w:r w:rsidR="00B822F8" w:rsidRPr="00783798">
        <w:rPr>
          <w:rFonts w:cs="Times New Roman"/>
        </w:rPr>
        <w:t>its</w:t>
      </w:r>
      <w:r w:rsidR="00413E6D" w:rsidRPr="00783798">
        <w:rPr>
          <w:rFonts w:cs="Times New Roman"/>
        </w:rPr>
        <w:t xml:space="preserve"> general provisions. As long as appropriate safeguards are implemented, researchers may be exempted from quite a range of </w:t>
      </w:r>
      <w:r w:rsidR="00B822F8" w:rsidRPr="00783798">
        <w:rPr>
          <w:rFonts w:cs="Times New Roman"/>
        </w:rPr>
        <w:t xml:space="preserve">obligations and </w:t>
      </w:r>
      <w:r w:rsidR="00413E6D" w:rsidRPr="00783798">
        <w:rPr>
          <w:rFonts w:cs="Times New Roman"/>
        </w:rPr>
        <w:t xml:space="preserve">restrictions. </w:t>
      </w:r>
    </w:p>
    <w:p w:rsidR="004B3C50" w:rsidRPr="00783798" w:rsidRDefault="00413E6D" w:rsidP="000464BC">
      <w:pPr>
        <w:jc w:val="both"/>
        <w:rPr>
          <w:rFonts w:cs="Times New Roman"/>
        </w:rPr>
      </w:pPr>
      <w:r w:rsidRPr="00783798">
        <w:rPr>
          <w:rFonts w:cs="Times New Roman"/>
        </w:rPr>
        <w:t>T</w:t>
      </w:r>
      <w:r w:rsidR="006B5095" w:rsidRPr="00783798">
        <w:rPr>
          <w:rFonts w:cs="Times New Roman"/>
        </w:rPr>
        <w:t xml:space="preserve">he </w:t>
      </w:r>
      <w:r w:rsidR="00B720A8" w:rsidRPr="00783798">
        <w:rPr>
          <w:rFonts w:cs="Times New Roman"/>
        </w:rPr>
        <w:t xml:space="preserve">Regulation </w:t>
      </w:r>
      <w:r w:rsidRPr="00783798">
        <w:rPr>
          <w:rFonts w:cs="Times New Roman"/>
        </w:rPr>
        <w:t xml:space="preserve">however </w:t>
      </w:r>
      <w:r w:rsidR="00B720A8" w:rsidRPr="00783798">
        <w:rPr>
          <w:rFonts w:cs="Times New Roman"/>
        </w:rPr>
        <w:t>enhances the focus on completely transparen</w:t>
      </w:r>
      <w:r w:rsidR="00BD5C8B" w:rsidRPr="00783798">
        <w:rPr>
          <w:rFonts w:cs="Times New Roman"/>
        </w:rPr>
        <w:t>cy</w:t>
      </w:r>
      <w:r w:rsidR="00B720A8" w:rsidRPr="00783798">
        <w:rPr>
          <w:rFonts w:cs="Times New Roman"/>
        </w:rPr>
        <w:t xml:space="preserve"> </w:t>
      </w:r>
      <w:r w:rsidR="00CA403D" w:rsidRPr="00783798">
        <w:rPr>
          <w:rFonts w:cs="Times New Roman"/>
        </w:rPr>
        <w:t xml:space="preserve">towards data subjects </w:t>
      </w:r>
      <w:r w:rsidR="00B720A8" w:rsidRPr="00783798">
        <w:rPr>
          <w:rFonts w:cs="Times New Roman"/>
        </w:rPr>
        <w:t xml:space="preserve">about intended collection </w:t>
      </w:r>
      <w:r w:rsidR="00344E30" w:rsidRPr="00783798">
        <w:rPr>
          <w:rFonts w:cs="Times New Roman"/>
        </w:rPr>
        <w:t xml:space="preserve">and use </w:t>
      </w:r>
      <w:r w:rsidR="00B720A8" w:rsidRPr="00783798">
        <w:rPr>
          <w:rFonts w:cs="Times New Roman"/>
        </w:rPr>
        <w:t xml:space="preserve">of </w:t>
      </w:r>
      <w:r w:rsidR="00CA403D" w:rsidRPr="00783798">
        <w:rPr>
          <w:rFonts w:cs="Times New Roman"/>
        </w:rPr>
        <w:t>their personal data</w:t>
      </w:r>
      <w:r w:rsidR="0006730B" w:rsidRPr="00783798">
        <w:rPr>
          <w:rFonts w:cs="Times New Roman"/>
        </w:rPr>
        <w:t>, regardless of whether the processing is based on consent</w:t>
      </w:r>
      <w:r w:rsidR="00B720A8" w:rsidRPr="00783798">
        <w:rPr>
          <w:rFonts w:cs="Times New Roman"/>
        </w:rPr>
        <w:t xml:space="preserve">. </w:t>
      </w:r>
      <w:r w:rsidR="00344E30" w:rsidRPr="00783798">
        <w:rPr>
          <w:rFonts w:cs="Times New Roman"/>
        </w:rPr>
        <w:t xml:space="preserve">How will </w:t>
      </w:r>
      <w:r w:rsidR="0006730B" w:rsidRPr="00783798">
        <w:rPr>
          <w:rFonts w:cs="Times New Roman"/>
        </w:rPr>
        <w:t xml:space="preserve">this </w:t>
      </w:r>
      <w:r w:rsidR="00344E30" w:rsidRPr="00783798">
        <w:rPr>
          <w:rFonts w:cs="Times New Roman"/>
        </w:rPr>
        <w:t xml:space="preserve">potentially stricter notice requirement affect </w:t>
      </w:r>
      <w:r w:rsidR="0006730B" w:rsidRPr="00783798">
        <w:rPr>
          <w:rFonts w:cs="Times New Roman"/>
        </w:rPr>
        <w:t>researchers’</w:t>
      </w:r>
      <w:r w:rsidR="00344E30" w:rsidRPr="00783798">
        <w:rPr>
          <w:rFonts w:cs="Times New Roman"/>
        </w:rPr>
        <w:t xml:space="preserve"> collection of auxiliary data on </w:t>
      </w:r>
      <w:r w:rsidR="0006730B" w:rsidRPr="00783798">
        <w:rPr>
          <w:rFonts w:cs="Times New Roman"/>
        </w:rPr>
        <w:t xml:space="preserve">identifiable </w:t>
      </w:r>
      <w:r w:rsidR="00344E30" w:rsidRPr="00783798">
        <w:rPr>
          <w:rFonts w:cs="Times New Roman"/>
        </w:rPr>
        <w:t xml:space="preserve">non-respondents? </w:t>
      </w:r>
      <w:r w:rsidR="00F7656D" w:rsidRPr="00783798">
        <w:rPr>
          <w:rFonts w:cs="Times New Roman"/>
        </w:rPr>
        <w:t>How detailed information will be needed to ensure an adequately un</w:t>
      </w:r>
      <w:r w:rsidR="001361CD" w:rsidRPr="00783798">
        <w:rPr>
          <w:rFonts w:cs="Times New Roman"/>
        </w:rPr>
        <w:t xml:space="preserve">derstanding of why these data are being </w:t>
      </w:r>
      <w:r w:rsidR="00BD5C8B" w:rsidRPr="00783798">
        <w:rPr>
          <w:rFonts w:cs="Times New Roman"/>
        </w:rPr>
        <w:t>collected</w:t>
      </w:r>
      <w:r w:rsidR="001361CD" w:rsidRPr="00783798">
        <w:rPr>
          <w:rFonts w:cs="Times New Roman"/>
        </w:rPr>
        <w:t xml:space="preserve">? </w:t>
      </w:r>
      <w:r w:rsidR="00344E30" w:rsidRPr="00783798">
        <w:rPr>
          <w:rFonts w:cs="Times New Roman"/>
        </w:rPr>
        <w:t xml:space="preserve">Will researchers most likely try to avoid </w:t>
      </w:r>
      <w:r w:rsidR="00BD5C8B" w:rsidRPr="00783798">
        <w:rPr>
          <w:rFonts w:cs="Times New Roman"/>
        </w:rPr>
        <w:t>giving</w:t>
      </w:r>
      <w:r w:rsidR="00344E30" w:rsidRPr="00783798">
        <w:rPr>
          <w:rFonts w:cs="Times New Roman"/>
        </w:rPr>
        <w:t xml:space="preserve"> information on this kind of data collection? Will providing information have negative effect on response rates? Furthermore, could researchers risk that non-respondents </w:t>
      </w:r>
      <w:r w:rsidR="00677351" w:rsidRPr="00783798">
        <w:rPr>
          <w:rFonts w:cs="Times New Roman"/>
        </w:rPr>
        <w:t xml:space="preserve">will </w:t>
      </w:r>
      <w:r w:rsidR="00344E30" w:rsidRPr="00783798">
        <w:rPr>
          <w:rFonts w:cs="Times New Roman"/>
        </w:rPr>
        <w:t>object to</w:t>
      </w:r>
      <w:r w:rsidR="00677351" w:rsidRPr="00783798">
        <w:rPr>
          <w:rFonts w:cs="Times New Roman"/>
        </w:rPr>
        <w:t xml:space="preserve"> </w:t>
      </w:r>
      <w:r w:rsidR="0006730B" w:rsidRPr="00783798">
        <w:rPr>
          <w:rFonts w:cs="Times New Roman"/>
        </w:rPr>
        <w:t xml:space="preserve">such </w:t>
      </w:r>
      <w:r w:rsidR="00677351" w:rsidRPr="00783798">
        <w:rPr>
          <w:rFonts w:cs="Times New Roman"/>
        </w:rPr>
        <w:t>processing or demand erasure of their personal data? Should best practise</w:t>
      </w:r>
      <w:r w:rsidR="001361CD" w:rsidRPr="00783798">
        <w:rPr>
          <w:rFonts w:cs="Times New Roman"/>
        </w:rPr>
        <w:t>, ethically and legally,</w:t>
      </w:r>
      <w:r w:rsidR="00677351" w:rsidRPr="00783798">
        <w:rPr>
          <w:rFonts w:cs="Times New Roman"/>
        </w:rPr>
        <w:t xml:space="preserve"> be to exempt nonresponse analyses from the notice requirement</w:t>
      </w:r>
      <w:r w:rsidR="002A4894" w:rsidRPr="00783798">
        <w:rPr>
          <w:rFonts w:cs="Times New Roman"/>
        </w:rPr>
        <w:t xml:space="preserve"> provided that</w:t>
      </w:r>
      <w:r w:rsidR="00153272" w:rsidRPr="00783798">
        <w:rPr>
          <w:rFonts w:cs="Times New Roman"/>
        </w:rPr>
        <w:t xml:space="preserve"> </w:t>
      </w:r>
      <w:r w:rsidR="002A4894" w:rsidRPr="00783798">
        <w:rPr>
          <w:rFonts w:cs="Times New Roman"/>
        </w:rPr>
        <w:t>ap</w:t>
      </w:r>
      <w:r w:rsidR="00153272" w:rsidRPr="00783798">
        <w:rPr>
          <w:rFonts w:cs="Times New Roman"/>
        </w:rPr>
        <w:t>propr</w:t>
      </w:r>
      <w:r w:rsidR="002A4894" w:rsidRPr="00783798">
        <w:rPr>
          <w:rFonts w:cs="Times New Roman"/>
        </w:rPr>
        <w:t>iate</w:t>
      </w:r>
      <w:r w:rsidR="00153272" w:rsidRPr="00783798">
        <w:rPr>
          <w:rFonts w:cs="Times New Roman"/>
        </w:rPr>
        <w:t xml:space="preserve"> safeguards are implemented</w:t>
      </w:r>
      <w:r w:rsidR="00677351" w:rsidRPr="00783798">
        <w:rPr>
          <w:rFonts w:cs="Times New Roman"/>
        </w:rPr>
        <w:t xml:space="preserve">? Or, </w:t>
      </w:r>
      <w:r w:rsidR="00BD5C8B" w:rsidRPr="00783798">
        <w:rPr>
          <w:rFonts w:cs="Times New Roman"/>
        </w:rPr>
        <w:t xml:space="preserve">should best practice be </w:t>
      </w:r>
      <w:r w:rsidR="00677351" w:rsidRPr="00783798">
        <w:rPr>
          <w:rFonts w:cs="Times New Roman"/>
        </w:rPr>
        <w:t>to provide information</w:t>
      </w:r>
      <w:r w:rsidR="0006730B" w:rsidRPr="00783798">
        <w:rPr>
          <w:rFonts w:cs="Times New Roman"/>
        </w:rPr>
        <w:t>,</w:t>
      </w:r>
      <w:r w:rsidR="00677351" w:rsidRPr="00783798">
        <w:rPr>
          <w:rFonts w:cs="Times New Roman"/>
        </w:rPr>
        <w:t xml:space="preserve"> </w:t>
      </w:r>
      <w:r w:rsidR="00150800" w:rsidRPr="00783798">
        <w:rPr>
          <w:rFonts w:cs="Times New Roman"/>
        </w:rPr>
        <w:t xml:space="preserve">including </w:t>
      </w:r>
      <w:r w:rsidR="007C5D45" w:rsidRPr="00783798">
        <w:rPr>
          <w:rFonts w:cs="Times New Roman"/>
        </w:rPr>
        <w:t>or excluding,</w:t>
      </w:r>
      <w:r w:rsidR="00504003" w:rsidRPr="00783798">
        <w:rPr>
          <w:rFonts w:cs="Times New Roman"/>
        </w:rPr>
        <w:t xml:space="preserve"> </w:t>
      </w:r>
      <w:r w:rsidR="00677351" w:rsidRPr="00783798">
        <w:rPr>
          <w:rFonts w:cs="Times New Roman"/>
        </w:rPr>
        <w:t xml:space="preserve">the rights </w:t>
      </w:r>
      <w:r w:rsidR="00150800" w:rsidRPr="00783798">
        <w:rPr>
          <w:rFonts w:cs="Times New Roman"/>
        </w:rPr>
        <w:t xml:space="preserve">for the data subject to objection </w:t>
      </w:r>
      <w:r w:rsidR="00677351" w:rsidRPr="00783798">
        <w:rPr>
          <w:rFonts w:cs="Times New Roman"/>
        </w:rPr>
        <w:t>and erasures?</w:t>
      </w:r>
      <w:r w:rsidR="001361CD" w:rsidRPr="00783798">
        <w:rPr>
          <w:rFonts w:cs="Times New Roman"/>
        </w:rPr>
        <w:t xml:space="preserve"> </w:t>
      </w:r>
    </w:p>
    <w:p w:rsidR="000464BC" w:rsidRPr="00783798" w:rsidRDefault="000464BC" w:rsidP="006642F3">
      <w:pPr>
        <w:jc w:val="both"/>
        <w:rPr>
          <w:rFonts w:cs="Times New Roman"/>
          <w:b/>
          <w:lang w:val="en-US"/>
        </w:rPr>
      </w:pPr>
      <w:r w:rsidRPr="00783798">
        <w:rPr>
          <w:rFonts w:cs="Times New Roman"/>
          <w:b/>
          <w:lang w:val="en-US"/>
        </w:rPr>
        <w:lastRenderedPageBreak/>
        <w:t>REFERENCES</w:t>
      </w:r>
    </w:p>
    <w:p w:rsidR="00D82796" w:rsidRPr="00783798" w:rsidRDefault="00D82796" w:rsidP="000464BC">
      <w:pPr>
        <w:jc w:val="both"/>
        <w:rPr>
          <w:rFonts w:cs="Times New Roman"/>
        </w:rPr>
      </w:pPr>
      <w:proofErr w:type="spellStart"/>
      <w:r w:rsidRPr="00783798">
        <w:rPr>
          <w:rFonts w:eastAsia="Times New Roman" w:cs="Times New Roman"/>
          <w:lang w:val="en-US" w:eastAsia="nb-NO"/>
        </w:rPr>
        <w:t>Autoriteit</w:t>
      </w:r>
      <w:proofErr w:type="spellEnd"/>
      <w:r w:rsidRPr="00783798">
        <w:rPr>
          <w:rFonts w:eastAsia="Times New Roman" w:cs="Times New Roman"/>
          <w:lang w:val="en-US" w:eastAsia="nb-NO"/>
        </w:rPr>
        <w:t xml:space="preserve"> </w:t>
      </w:r>
      <w:proofErr w:type="spellStart"/>
      <w:r w:rsidRPr="00783798">
        <w:rPr>
          <w:rFonts w:eastAsia="Times New Roman" w:cs="Times New Roman"/>
          <w:lang w:val="en-US" w:eastAsia="nb-NO"/>
        </w:rPr>
        <w:t>Persoonsgegenes</w:t>
      </w:r>
      <w:proofErr w:type="spellEnd"/>
      <w:r w:rsidRPr="00783798">
        <w:rPr>
          <w:rFonts w:eastAsia="Times New Roman" w:cs="Times New Roman"/>
          <w:lang w:val="en-US" w:eastAsia="nb-NO"/>
        </w:rPr>
        <w:t xml:space="preserve"> (</w:t>
      </w:r>
      <w:proofErr w:type="spellStart"/>
      <w:r w:rsidRPr="00783798">
        <w:rPr>
          <w:rFonts w:eastAsia="Times New Roman" w:cs="Times New Roman"/>
          <w:lang w:val="en-US" w:eastAsia="nb-NO"/>
        </w:rPr>
        <w:t>n.d</w:t>
      </w:r>
      <w:proofErr w:type="spellEnd"/>
      <w:r w:rsidRPr="00783798">
        <w:rPr>
          <w:rFonts w:eastAsia="Times New Roman" w:cs="Times New Roman"/>
          <w:lang w:val="en-US" w:eastAsia="nb-NO"/>
        </w:rPr>
        <w:t xml:space="preserve">). </w:t>
      </w:r>
      <w:proofErr w:type="spellStart"/>
      <w:r w:rsidRPr="00783798">
        <w:rPr>
          <w:rFonts w:eastAsia="Times New Roman" w:cs="Times New Roman"/>
          <w:i/>
          <w:lang w:val="en-US" w:eastAsia="nb-NO"/>
        </w:rPr>
        <w:t>Artikel</w:t>
      </w:r>
      <w:proofErr w:type="spellEnd"/>
      <w:r w:rsidRPr="00783798">
        <w:rPr>
          <w:rFonts w:eastAsia="Times New Roman" w:cs="Times New Roman"/>
          <w:i/>
          <w:lang w:val="en-US" w:eastAsia="nb-NO"/>
        </w:rPr>
        <w:t xml:space="preserve"> 1 </w:t>
      </w:r>
      <w:proofErr w:type="gramStart"/>
      <w:r w:rsidRPr="00783798">
        <w:rPr>
          <w:rFonts w:eastAsia="Times New Roman" w:cs="Times New Roman"/>
          <w:i/>
          <w:lang w:val="en-US" w:eastAsia="nb-NO"/>
        </w:rPr>
        <w:t>sub</w:t>
      </w:r>
      <w:proofErr w:type="gramEnd"/>
      <w:r w:rsidRPr="00783798">
        <w:rPr>
          <w:rFonts w:eastAsia="Times New Roman" w:cs="Times New Roman"/>
          <w:i/>
          <w:lang w:val="en-US" w:eastAsia="nb-NO"/>
        </w:rPr>
        <w:t xml:space="preserve"> a </w:t>
      </w:r>
      <w:proofErr w:type="spellStart"/>
      <w:r w:rsidRPr="00783798">
        <w:rPr>
          <w:rFonts w:eastAsia="Times New Roman" w:cs="Times New Roman"/>
          <w:i/>
          <w:lang w:val="en-US" w:eastAsia="nb-NO"/>
        </w:rPr>
        <w:t>Wbp</w:t>
      </w:r>
      <w:proofErr w:type="spellEnd"/>
      <w:r w:rsidRPr="00783798">
        <w:rPr>
          <w:rFonts w:eastAsia="Times New Roman" w:cs="Times New Roman"/>
          <w:lang w:val="en-US" w:eastAsia="nb-NO"/>
        </w:rPr>
        <w:t xml:space="preserve">: </w:t>
      </w:r>
      <w:proofErr w:type="spellStart"/>
      <w:r w:rsidRPr="00783798">
        <w:rPr>
          <w:rFonts w:eastAsia="Times New Roman" w:cs="Times New Roman"/>
          <w:i/>
          <w:lang w:val="en-US" w:eastAsia="nb-NO"/>
        </w:rPr>
        <w:t>Niet</w:t>
      </w:r>
      <w:proofErr w:type="spellEnd"/>
      <w:r w:rsidRPr="00783798">
        <w:rPr>
          <w:rFonts w:eastAsia="Times New Roman" w:cs="Times New Roman"/>
          <w:i/>
          <w:lang w:val="en-US" w:eastAsia="nb-NO"/>
        </w:rPr>
        <w:t xml:space="preserve"> </w:t>
      </w:r>
      <w:proofErr w:type="spellStart"/>
      <w:r w:rsidRPr="00783798">
        <w:rPr>
          <w:rFonts w:eastAsia="Times New Roman" w:cs="Times New Roman"/>
          <w:i/>
          <w:lang w:val="en-US" w:eastAsia="nb-NO"/>
        </w:rPr>
        <w:t>identificeerbaar</w:t>
      </w:r>
      <w:proofErr w:type="spellEnd"/>
      <w:r w:rsidRPr="00783798">
        <w:rPr>
          <w:rFonts w:eastAsia="Times New Roman" w:cs="Times New Roman"/>
          <w:lang w:val="en-US" w:eastAsia="nb-NO"/>
        </w:rPr>
        <w:t>. Retrieved from https://autoriteitpersoonsgegevens.nl/nl/over-privacy/wetten/wbp-naslag/hoofdstuk-1-algemene-bepalingen-art-1-tm-5/artikel-1-sub-wbp</w:t>
      </w:r>
    </w:p>
    <w:p w:rsidR="00D82796" w:rsidRPr="00783798" w:rsidRDefault="00D82796" w:rsidP="000464BC">
      <w:pPr>
        <w:jc w:val="both"/>
        <w:rPr>
          <w:rFonts w:cs="Times New Roman"/>
        </w:rPr>
      </w:pPr>
      <w:proofErr w:type="spellStart"/>
      <w:proofErr w:type="gramStart"/>
      <w:r w:rsidRPr="00783798">
        <w:rPr>
          <w:rFonts w:cs="Times New Roman"/>
        </w:rPr>
        <w:t>Beyleveld</w:t>
      </w:r>
      <w:proofErr w:type="spellEnd"/>
      <w:r w:rsidRPr="00783798">
        <w:rPr>
          <w:rFonts w:cs="Times New Roman"/>
        </w:rPr>
        <w:t xml:space="preserve">, D., Grubb, A., </w:t>
      </w:r>
      <w:proofErr w:type="spellStart"/>
      <w:r w:rsidRPr="00783798">
        <w:rPr>
          <w:rFonts w:cs="Times New Roman"/>
        </w:rPr>
        <w:t>Townend</w:t>
      </w:r>
      <w:proofErr w:type="spellEnd"/>
      <w:r w:rsidRPr="00783798">
        <w:rPr>
          <w:rFonts w:cs="Times New Roman"/>
        </w:rPr>
        <w:t>, D., Morgan, R. &amp; Wright, J. (2004).</w:t>
      </w:r>
      <w:proofErr w:type="gramEnd"/>
      <w:r w:rsidRPr="00783798">
        <w:rPr>
          <w:rFonts w:cs="Times New Roman"/>
        </w:rPr>
        <w:t xml:space="preserve"> </w:t>
      </w:r>
      <w:proofErr w:type="gramStart"/>
      <w:r w:rsidRPr="00783798">
        <w:rPr>
          <w:rFonts w:cs="Times New Roman"/>
        </w:rPr>
        <w:t>The UK’s Implementation of Directive 95/46/EC.</w:t>
      </w:r>
      <w:proofErr w:type="gramEnd"/>
      <w:r w:rsidRPr="00783798">
        <w:rPr>
          <w:rFonts w:cs="Times New Roman"/>
        </w:rPr>
        <w:t xml:space="preserve"> In D. </w:t>
      </w:r>
      <w:proofErr w:type="spellStart"/>
      <w:r w:rsidRPr="00783798">
        <w:rPr>
          <w:rFonts w:cs="Times New Roman"/>
        </w:rPr>
        <w:t>Beyleveld</w:t>
      </w:r>
      <w:proofErr w:type="spellEnd"/>
      <w:r w:rsidRPr="00783798">
        <w:rPr>
          <w:rFonts w:cs="Times New Roman"/>
        </w:rPr>
        <w:t xml:space="preserve">, D. </w:t>
      </w:r>
      <w:proofErr w:type="spellStart"/>
      <w:r w:rsidRPr="00783798">
        <w:rPr>
          <w:rFonts w:cs="Times New Roman"/>
        </w:rPr>
        <w:t>Townend</w:t>
      </w:r>
      <w:proofErr w:type="spellEnd"/>
      <w:r w:rsidRPr="00783798">
        <w:rPr>
          <w:rFonts w:cs="Times New Roman"/>
        </w:rPr>
        <w:t xml:space="preserve">, S. </w:t>
      </w:r>
      <w:proofErr w:type="spellStart"/>
      <w:r w:rsidRPr="00783798">
        <w:rPr>
          <w:rFonts w:cs="Times New Roman"/>
        </w:rPr>
        <w:t>Rouillé-Mirza</w:t>
      </w:r>
      <w:proofErr w:type="spellEnd"/>
      <w:r w:rsidRPr="00783798">
        <w:rPr>
          <w:rFonts w:cs="Times New Roman"/>
        </w:rPr>
        <w:t xml:space="preserve"> &amp; J. Wright (Eds.), Implementation of the Data Protection Directive in Relation to Medical Research in Europe (pp. 403-428) Aldershot: </w:t>
      </w:r>
      <w:proofErr w:type="spellStart"/>
      <w:r w:rsidRPr="00783798">
        <w:rPr>
          <w:rFonts w:cs="Times New Roman"/>
        </w:rPr>
        <w:t>Ashgate</w:t>
      </w:r>
      <w:proofErr w:type="spellEnd"/>
      <w:r w:rsidRPr="00783798">
        <w:rPr>
          <w:rFonts w:cs="Times New Roman"/>
        </w:rPr>
        <w:t>.</w:t>
      </w:r>
    </w:p>
    <w:p w:rsidR="000464BC" w:rsidRPr="00783798" w:rsidRDefault="000464BC" w:rsidP="000464BC">
      <w:pPr>
        <w:jc w:val="both"/>
        <w:rPr>
          <w:rFonts w:cs="Times New Roman"/>
        </w:rPr>
      </w:pPr>
      <w:proofErr w:type="spellStart"/>
      <w:proofErr w:type="gramStart"/>
      <w:r w:rsidRPr="00783798">
        <w:rPr>
          <w:rFonts w:cs="Times New Roman"/>
        </w:rPr>
        <w:t>Biemer</w:t>
      </w:r>
      <w:proofErr w:type="spellEnd"/>
      <w:r w:rsidRPr="00783798">
        <w:rPr>
          <w:rFonts w:cs="Times New Roman"/>
        </w:rPr>
        <w:t xml:space="preserve">, P., &amp; </w:t>
      </w:r>
      <w:proofErr w:type="spellStart"/>
      <w:r w:rsidRPr="00783798">
        <w:rPr>
          <w:rFonts w:cs="Times New Roman"/>
        </w:rPr>
        <w:t>Peytchev</w:t>
      </w:r>
      <w:proofErr w:type="spellEnd"/>
      <w:r w:rsidRPr="00783798">
        <w:rPr>
          <w:rFonts w:cs="Times New Roman"/>
        </w:rPr>
        <w:t>, A. (2013).</w:t>
      </w:r>
      <w:proofErr w:type="gramEnd"/>
      <w:r w:rsidRPr="00783798">
        <w:rPr>
          <w:rFonts w:cs="Times New Roman"/>
        </w:rPr>
        <w:t xml:space="preserve"> </w:t>
      </w:r>
      <w:proofErr w:type="gramStart"/>
      <w:r w:rsidRPr="00783798">
        <w:rPr>
          <w:rFonts w:cs="Times New Roman"/>
        </w:rPr>
        <w:t>Using geocoded census data for nonresponse bias correction: An assessment.</w:t>
      </w:r>
      <w:proofErr w:type="gramEnd"/>
      <w:r w:rsidRPr="00783798">
        <w:rPr>
          <w:rFonts w:cs="Times New Roman"/>
        </w:rPr>
        <w:t xml:space="preserve"> Journal of Survey Statistics and Methodology, 1, 24-44.</w:t>
      </w:r>
    </w:p>
    <w:p w:rsidR="000464BC" w:rsidRPr="00783798" w:rsidRDefault="000464BC" w:rsidP="000464BC">
      <w:pPr>
        <w:jc w:val="both"/>
        <w:rPr>
          <w:rFonts w:cs="Times New Roman"/>
        </w:rPr>
      </w:pPr>
      <w:proofErr w:type="gramStart"/>
      <w:r w:rsidRPr="00783798">
        <w:rPr>
          <w:rFonts w:cs="Times New Roman"/>
        </w:rPr>
        <w:t>Brick, J. M., &amp; Williams, D. (2013).</w:t>
      </w:r>
      <w:proofErr w:type="gramEnd"/>
      <w:r w:rsidRPr="00783798">
        <w:rPr>
          <w:rFonts w:cs="Times New Roman"/>
        </w:rPr>
        <w:t xml:space="preserve"> </w:t>
      </w:r>
      <w:proofErr w:type="gramStart"/>
      <w:r w:rsidRPr="00783798">
        <w:rPr>
          <w:rFonts w:cs="Times New Roman"/>
        </w:rPr>
        <w:t>Explaining Rising Nonresponse Rates in Cross-Sectional Surveys.</w:t>
      </w:r>
      <w:proofErr w:type="gramEnd"/>
      <w:r w:rsidRPr="00783798">
        <w:rPr>
          <w:rFonts w:cs="Times New Roman"/>
        </w:rPr>
        <w:t xml:space="preserve"> ANNALS of the American Academy of Political and Social Science, 645, 36–59.</w:t>
      </w:r>
    </w:p>
    <w:p w:rsidR="00D82796" w:rsidRPr="00783798" w:rsidRDefault="00D82796" w:rsidP="000464BC">
      <w:pPr>
        <w:jc w:val="both"/>
        <w:rPr>
          <w:rFonts w:cs="Times New Roman"/>
        </w:rPr>
      </w:pPr>
      <w:proofErr w:type="spellStart"/>
      <w:r w:rsidRPr="00783798">
        <w:rPr>
          <w:rFonts w:cs="Times New Roman"/>
        </w:rPr>
        <w:t>Bøe</w:t>
      </w:r>
      <w:proofErr w:type="spellEnd"/>
      <w:r w:rsidRPr="00783798">
        <w:rPr>
          <w:rFonts w:cs="Times New Roman"/>
        </w:rPr>
        <w:t xml:space="preserve">, M., </w:t>
      </w:r>
      <w:proofErr w:type="spellStart"/>
      <w:r w:rsidRPr="00783798">
        <w:rPr>
          <w:rFonts w:cs="Times New Roman"/>
        </w:rPr>
        <w:t>Rød</w:t>
      </w:r>
      <w:proofErr w:type="spellEnd"/>
      <w:r w:rsidRPr="00783798">
        <w:rPr>
          <w:rFonts w:cs="Times New Roman"/>
        </w:rPr>
        <w:t xml:space="preserve">, L., Parra, C., De </w:t>
      </w:r>
      <w:proofErr w:type="spellStart"/>
      <w:r w:rsidRPr="00783798">
        <w:rPr>
          <w:rFonts w:cs="Times New Roman"/>
        </w:rPr>
        <w:t>Smedt</w:t>
      </w:r>
      <w:proofErr w:type="spellEnd"/>
      <w:r w:rsidRPr="00783798">
        <w:rPr>
          <w:rFonts w:cs="Times New Roman"/>
        </w:rPr>
        <w:t xml:space="preserve">, K., </w:t>
      </w:r>
      <w:proofErr w:type="spellStart"/>
      <w:r w:rsidRPr="00783798">
        <w:rPr>
          <w:rFonts w:cs="Times New Roman"/>
        </w:rPr>
        <w:t>Kvalheim</w:t>
      </w:r>
      <w:proofErr w:type="spellEnd"/>
      <w:r w:rsidRPr="00783798">
        <w:rPr>
          <w:rFonts w:cs="Times New Roman"/>
        </w:rPr>
        <w:t xml:space="preserve">, V., </w:t>
      </w:r>
      <w:proofErr w:type="spellStart"/>
      <w:r w:rsidRPr="00783798">
        <w:rPr>
          <w:rFonts w:cs="Times New Roman"/>
        </w:rPr>
        <w:t>Segadal</w:t>
      </w:r>
      <w:proofErr w:type="spellEnd"/>
      <w:r w:rsidRPr="00783798">
        <w:rPr>
          <w:rFonts w:cs="Times New Roman"/>
        </w:rPr>
        <w:t>, K</w:t>
      </w:r>
      <w:proofErr w:type="gramStart"/>
      <w:r w:rsidRPr="00783798">
        <w:rPr>
          <w:rFonts w:cs="Times New Roman"/>
        </w:rPr>
        <w:t>., …</w:t>
      </w:r>
      <w:proofErr w:type="gramEnd"/>
      <w:r w:rsidRPr="00783798">
        <w:rPr>
          <w:rFonts w:cs="Times New Roman"/>
        </w:rPr>
        <w:t xml:space="preserve"> </w:t>
      </w:r>
      <w:proofErr w:type="spellStart"/>
      <w:r w:rsidRPr="00783798">
        <w:rPr>
          <w:rFonts w:cs="Times New Roman"/>
        </w:rPr>
        <w:t>Samdal</w:t>
      </w:r>
      <w:proofErr w:type="spellEnd"/>
      <w:r w:rsidRPr="00783798">
        <w:rPr>
          <w:rFonts w:cs="Times New Roman"/>
        </w:rPr>
        <w:t xml:space="preserve">, G. (2014). Handbook on legal and ethical issues for SSH data in Europe, Part II. DASISH Work Package 6: Legal and Ethical Issues. </w:t>
      </w:r>
      <w:proofErr w:type="gramStart"/>
      <w:r w:rsidRPr="00783798">
        <w:rPr>
          <w:rFonts w:cs="Times New Roman"/>
        </w:rPr>
        <w:t>Deliverable 6.5.</w:t>
      </w:r>
      <w:proofErr w:type="gramEnd"/>
    </w:p>
    <w:p w:rsidR="000464BC" w:rsidRPr="00783798" w:rsidRDefault="000464BC" w:rsidP="000464BC">
      <w:pPr>
        <w:jc w:val="both"/>
        <w:rPr>
          <w:rFonts w:cs="Times New Roman"/>
        </w:rPr>
      </w:pPr>
      <w:proofErr w:type="gramStart"/>
      <w:r w:rsidRPr="00783798">
        <w:rPr>
          <w:rFonts w:cs="Times New Roman"/>
        </w:rPr>
        <w:t xml:space="preserve">Comber, A., </w:t>
      </w:r>
      <w:proofErr w:type="spellStart"/>
      <w:r w:rsidRPr="00783798">
        <w:rPr>
          <w:rFonts w:cs="Times New Roman"/>
        </w:rPr>
        <w:t>Brunsdon</w:t>
      </w:r>
      <w:proofErr w:type="spellEnd"/>
      <w:r w:rsidRPr="00783798">
        <w:rPr>
          <w:rFonts w:cs="Times New Roman"/>
        </w:rPr>
        <w:t xml:space="preserve">, C., &amp; </w:t>
      </w:r>
      <w:proofErr w:type="spellStart"/>
      <w:r w:rsidRPr="00783798">
        <w:rPr>
          <w:rFonts w:cs="Times New Roman"/>
        </w:rPr>
        <w:t>Radburn</w:t>
      </w:r>
      <w:proofErr w:type="spellEnd"/>
      <w:r w:rsidRPr="00783798">
        <w:rPr>
          <w:rFonts w:cs="Times New Roman"/>
        </w:rPr>
        <w:t>, R. (2011).</w:t>
      </w:r>
      <w:proofErr w:type="gramEnd"/>
      <w:r w:rsidRPr="00783798">
        <w:rPr>
          <w:rFonts w:cs="Times New Roman"/>
        </w:rPr>
        <w:t xml:space="preserve"> A spatial analysis of variations in health access: linking geography, socio-economic status and access perceptions. International Journal of Health Geographics</w:t>
      </w:r>
      <w:proofErr w:type="gramStart"/>
      <w:r w:rsidRPr="00783798">
        <w:rPr>
          <w:rFonts w:cs="Times New Roman"/>
        </w:rPr>
        <w:t>,10:44</w:t>
      </w:r>
      <w:proofErr w:type="gramEnd"/>
      <w:r w:rsidRPr="00783798">
        <w:rPr>
          <w:rFonts w:cs="Times New Roman"/>
        </w:rPr>
        <w:t>. Retrieved from http://www.ij-healthgeographics.com/content/10/1/44</w:t>
      </w:r>
    </w:p>
    <w:p w:rsidR="00FC08EB" w:rsidRPr="00783798" w:rsidRDefault="00FC08EB" w:rsidP="000464BC">
      <w:pPr>
        <w:jc w:val="both"/>
        <w:rPr>
          <w:rFonts w:cs="Times New Roman"/>
        </w:rPr>
      </w:pPr>
      <w:proofErr w:type="spellStart"/>
      <w:r w:rsidRPr="00783798">
        <w:rPr>
          <w:rFonts w:cs="Times New Roman"/>
          <w:lang w:val="nb-NO"/>
        </w:rPr>
        <w:t>Couper</w:t>
      </w:r>
      <w:proofErr w:type="spellEnd"/>
      <w:r w:rsidRPr="00783798">
        <w:rPr>
          <w:rFonts w:cs="Times New Roman"/>
          <w:lang w:val="nb-NO"/>
        </w:rPr>
        <w:t xml:space="preserve">, M. P., &amp; Singer, E. (2013). </w:t>
      </w:r>
      <w:proofErr w:type="gramStart"/>
      <w:r w:rsidRPr="00783798">
        <w:rPr>
          <w:rFonts w:cs="Times New Roman"/>
        </w:rPr>
        <w:t xml:space="preserve">Informed Consent for Web </w:t>
      </w:r>
      <w:proofErr w:type="spellStart"/>
      <w:r w:rsidRPr="00783798">
        <w:rPr>
          <w:rFonts w:cs="Times New Roman"/>
        </w:rPr>
        <w:t>paradata</w:t>
      </w:r>
      <w:proofErr w:type="spellEnd"/>
      <w:r w:rsidRPr="00783798">
        <w:rPr>
          <w:rFonts w:cs="Times New Roman"/>
        </w:rPr>
        <w:t xml:space="preserve"> Use.</w:t>
      </w:r>
      <w:proofErr w:type="gramEnd"/>
      <w:r w:rsidRPr="00783798">
        <w:rPr>
          <w:rFonts w:cs="Times New Roman"/>
        </w:rPr>
        <w:t xml:space="preserve"> Survey Research Methods 7 (1), 57-67.</w:t>
      </w:r>
    </w:p>
    <w:p w:rsidR="00FC08EB" w:rsidRPr="00783798" w:rsidRDefault="00FC08EB" w:rsidP="000464BC">
      <w:pPr>
        <w:jc w:val="both"/>
        <w:rPr>
          <w:rFonts w:cs="Times New Roman"/>
        </w:rPr>
      </w:pPr>
      <w:r w:rsidRPr="00783798">
        <w:rPr>
          <w:rFonts w:cs="Times New Roman"/>
        </w:rPr>
        <w:t>Directive 95/46/EC of the European Parliament and of the Council of 24 October 1995 on the protection of individuals with regard to the processing of personal data and on the free movement of such data (1995). Retrieved from http://eur-lex.europa.eu/LexUriServ/LexUriServ.do?uri=CELEX:31995L0046:en:HTML</w:t>
      </w:r>
    </w:p>
    <w:p w:rsidR="00FC08EB" w:rsidRPr="00783798" w:rsidRDefault="00FC08EB" w:rsidP="000464BC">
      <w:pPr>
        <w:jc w:val="both"/>
        <w:rPr>
          <w:rFonts w:cs="Times New Roman"/>
        </w:rPr>
      </w:pPr>
      <w:proofErr w:type="gramStart"/>
      <w:r w:rsidRPr="00783798">
        <w:rPr>
          <w:rFonts w:cs="Times New Roman"/>
        </w:rPr>
        <w:t>European Commission (2015).</w:t>
      </w:r>
      <w:proofErr w:type="gramEnd"/>
      <w:r w:rsidRPr="00783798">
        <w:rPr>
          <w:rFonts w:cs="Times New Roman"/>
        </w:rPr>
        <w:t xml:space="preserve"> Agreement on Commission's EU data protection reform will boost Digital Single Market. Retrieved from http://europa.eu/rapid/press-release_IP-15-6321_en.htm</w:t>
      </w:r>
    </w:p>
    <w:p w:rsidR="000464BC" w:rsidRPr="00783798" w:rsidRDefault="000464BC" w:rsidP="000464BC">
      <w:pPr>
        <w:jc w:val="both"/>
        <w:rPr>
          <w:rFonts w:cs="Times New Roman"/>
          <w:lang w:val="en-US"/>
        </w:rPr>
      </w:pPr>
      <w:proofErr w:type="gramStart"/>
      <w:r w:rsidRPr="00783798">
        <w:rPr>
          <w:rFonts w:cs="Times New Roman"/>
          <w:lang w:val="en-US"/>
        </w:rPr>
        <w:t>ESOMAR World Research (2015).</w:t>
      </w:r>
      <w:proofErr w:type="gramEnd"/>
      <w:r w:rsidRPr="00783798">
        <w:rPr>
          <w:rFonts w:cs="Times New Roman"/>
          <w:lang w:val="en-US"/>
        </w:rPr>
        <w:t xml:space="preserve"> </w:t>
      </w:r>
      <w:proofErr w:type="gramStart"/>
      <w:r w:rsidRPr="00783798">
        <w:rPr>
          <w:rFonts w:cs="Times New Roman"/>
          <w:lang w:val="en-US"/>
        </w:rPr>
        <w:t>ESOMAR Online Research Guidelines.</w:t>
      </w:r>
      <w:proofErr w:type="gramEnd"/>
      <w:r w:rsidRPr="00783798">
        <w:rPr>
          <w:rFonts w:cs="Times New Roman"/>
          <w:lang w:val="en-US"/>
        </w:rPr>
        <w:t xml:space="preserve"> Retrieved from https://www.esomar.org/uploads/public/knowledge-and-standards/codes-and-guidelines/ESOMAR-GRBN-Online-Research-Guideline-October-2015.pdf</w:t>
      </w:r>
    </w:p>
    <w:p w:rsidR="000464BC" w:rsidRPr="00783798" w:rsidRDefault="000464BC" w:rsidP="000464BC">
      <w:pPr>
        <w:jc w:val="both"/>
        <w:rPr>
          <w:rFonts w:cs="Times New Roman"/>
          <w:lang w:val="en-US"/>
        </w:rPr>
      </w:pPr>
      <w:proofErr w:type="gramStart"/>
      <w:r w:rsidRPr="00783798">
        <w:rPr>
          <w:rFonts w:cs="Times New Roman"/>
          <w:lang w:val="en-US"/>
        </w:rPr>
        <w:t>ESOMAR World Research (2016).</w:t>
      </w:r>
      <w:proofErr w:type="gramEnd"/>
      <w:r w:rsidRPr="00783798">
        <w:rPr>
          <w:rFonts w:cs="Times New Roman"/>
          <w:lang w:val="en-US"/>
        </w:rPr>
        <w:t xml:space="preserve"> </w:t>
      </w:r>
      <w:proofErr w:type="gramStart"/>
      <w:r w:rsidRPr="00783798">
        <w:rPr>
          <w:rFonts w:cs="Times New Roman"/>
          <w:lang w:val="en-US"/>
        </w:rPr>
        <w:t>ESOMAR Data Protection Checklist.</w:t>
      </w:r>
      <w:proofErr w:type="gramEnd"/>
      <w:r w:rsidRPr="00783798">
        <w:rPr>
          <w:rFonts w:cs="Times New Roman"/>
          <w:lang w:val="en-US"/>
        </w:rPr>
        <w:t xml:space="preserve"> Retrieved from https://www.esomar.org/uploads/public/knowledge-and-standards/codes-and-guidelines/ESOMAR-Data-Protection-Checklist_update-April-2016.pdf</w:t>
      </w:r>
    </w:p>
    <w:p w:rsidR="000464BC" w:rsidRPr="00783798" w:rsidRDefault="000464BC" w:rsidP="006642F3">
      <w:pPr>
        <w:jc w:val="both"/>
        <w:rPr>
          <w:rFonts w:cs="Times New Roman"/>
          <w:lang w:val="en-US"/>
        </w:rPr>
      </w:pPr>
      <w:proofErr w:type="gramStart"/>
      <w:r w:rsidRPr="00783798">
        <w:rPr>
          <w:rFonts w:cs="Times New Roman"/>
          <w:lang w:val="en-US"/>
        </w:rPr>
        <w:t>Krueger, B. S., &amp; West, B. T. (2014).</w:t>
      </w:r>
      <w:proofErr w:type="gramEnd"/>
      <w:r w:rsidRPr="00783798">
        <w:rPr>
          <w:rFonts w:cs="Times New Roman"/>
          <w:lang w:val="en-US"/>
        </w:rPr>
        <w:t xml:space="preserve"> </w:t>
      </w:r>
      <w:proofErr w:type="spellStart"/>
      <w:proofErr w:type="gramStart"/>
      <w:r w:rsidRPr="00783798">
        <w:rPr>
          <w:rFonts w:cs="Times New Roman"/>
          <w:lang w:val="en-US"/>
        </w:rPr>
        <w:t>Assesing</w:t>
      </w:r>
      <w:proofErr w:type="spellEnd"/>
      <w:r w:rsidRPr="00783798">
        <w:rPr>
          <w:rFonts w:cs="Times New Roman"/>
          <w:lang w:val="en-US"/>
        </w:rPr>
        <w:t xml:space="preserve"> the Potential of </w:t>
      </w:r>
      <w:proofErr w:type="spellStart"/>
      <w:r w:rsidRPr="00783798">
        <w:rPr>
          <w:rFonts w:cs="Times New Roman"/>
          <w:lang w:val="en-US"/>
        </w:rPr>
        <w:t>Paradata</w:t>
      </w:r>
      <w:proofErr w:type="spellEnd"/>
      <w:r w:rsidRPr="00783798">
        <w:rPr>
          <w:rFonts w:cs="Times New Roman"/>
          <w:lang w:val="en-US"/>
        </w:rPr>
        <w:t xml:space="preserve"> and Other Auxiliary Data from Nonresponse Adjustments.</w:t>
      </w:r>
      <w:proofErr w:type="gramEnd"/>
      <w:r w:rsidRPr="00783798">
        <w:rPr>
          <w:rFonts w:cs="Times New Roman"/>
          <w:lang w:val="en-US"/>
        </w:rPr>
        <w:t xml:space="preserve"> Public Opinion Quarterly 78, 795–831.</w:t>
      </w:r>
    </w:p>
    <w:p w:rsidR="00A528BC" w:rsidRPr="00783798" w:rsidRDefault="00A528BC" w:rsidP="006642F3">
      <w:pPr>
        <w:jc w:val="both"/>
        <w:rPr>
          <w:rFonts w:cs="Times New Roman"/>
          <w:lang w:val="en-US"/>
        </w:rPr>
      </w:pPr>
      <w:proofErr w:type="spellStart"/>
      <w:proofErr w:type="gramStart"/>
      <w:r w:rsidRPr="00783798">
        <w:rPr>
          <w:rFonts w:cs="Times New Roman"/>
          <w:lang w:val="en-US"/>
        </w:rPr>
        <w:t>Kvamme</w:t>
      </w:r>
      <w:proofErr w:type="spellEnd"/>
      <w:r w:rsidRPr="00783798">
        <w:rPr>
          <w:rFonts w:cs="Times New Roman"/>
          <w:lang w:val="en-US"/>
        </w:rPr>
        <w:t xml:space="preserve">, T., Parra, C., De </w:t>
      </w:r>
      <w:proofErr w:type="spellStart"/>
      <w:r w:rsidRPr="00783798">
        <w:rPr>
          <w:rFonts w:cs="Times New Roman"/>
          <w:lang w:val="en-US"/>
        </w:rPr>
        <w:t>Smedt</w:t>
      </w:r>
      <w:proofErr w:type="spellEnd"/>
      <w:r w:rsidRPr="00783798">
        <w:rPr>
          <w:rFonts w:cs="Times New Roman"/>
          <w:lang w:val="en-US"/>
        </w:rPr>
        <w:t xml:space="preserve">, K., </w:t>
      </w:r>
      <w:proofErr w:type="spellStart"/>
      <w:r w:rsidRPr="00783798">
        <w:rPr>
          <w:rFonts w:cs="Times New Roman"/>
          <w:lang w:val="en-US"/>
        </w:rPr>
        <w:t>Segadal</w:t>
      </w:r>
      <w:proofErr w:type="spellEnd"/>
      <w:r w:rsidRPr="00783798">
        <w:rPr>
          <w:rFonts w:cs="Times New Roman"/>
          <w:lang w:val="en-US"/>
        </w:rPr>
        <w:t xml:space="preserve">, K., </w:t>
      </w:r>
      <w:proofErr w:type="spellStart"/>
      <w:r w:rsidRPr="00783798">
        <w:rPr>
          <w:rFonts w:cs="Times New Roman"/>
          <w:lang w:val="en-US"/>
        </w:rPr>
        <w:t>Kvalheim</w:t>
      </w:r>
      <w:proofErr w:type="spellEnd"/>
      <w:r w:rsidRPr="00783798">
        <w:rPr>
          <w:rFonts w:cs="Times New Roman"/>
          <w:lang w:val="en-US"/>
        </w:rPr>
        <w:t>, V. (2014).</w:t>
      </w:r>
      <w:proofErr w:type="gramEnd"/>
      <w:r w:rsidRPr="00783798">
        <w:rPr>
          <w:rFonts w:cs="Times New Roman"/>
          <w:lang w:val="en-US"/>
        </w:rPr>
        <w:t xml:space="preserve"> Report about Preservation Policy-Rules (Preservation Challenges). DASISH Work Package 6: Legal and Ethical Issues. </w:t>
      </w:r>
      <w:proofErr w:type="gramStart"/>
      <w:r w:rsidRPr="00783798">
        <w:rPr>
          <w:rFonts w:cs="Times New Roman"/>
          <w:lang w:val="en-US"/>
        </w:rPr>
        <w:t>Deliverable 6.6.</w:t>
      </w:r>
      <w:proofErr w:type="gramEnd"/>
    </w:p>
    <w:p w:rsidR="004B3C50" w:rsidRPr="00783798" w:rsidRDefault="004B3C50" w:rsidP="006642F3">
      <w:pPr>
        <w:jc w:val="both"/>
        <w:rPr>
          <w:rFonts w:cs="Times New Roman"/>
          <w:lang w:val="en-US"/>
        </w:rPr>
      </w:pPr>
      <w:proofErr w:type="spellStart"/>
      <w:r w:rsidRPr="00783798">
        <w:rPr>
          <w:rFonts w:cs="Times New Roman"/>
          <w:lang w:val="en-US"/>
        </w:rPr>
        <w:lastRenderedPageBreak/>
        <w:t>Maldoff</w:t>
      </w:r>
      <w:proofErr w:type="spellEnd"/>
      <w:r w:rsidRPr="00783798">
        <w:rPr>
          <w:rFonts w:cs="Times New Roman"/>
          <w:lang w:val="en-US"/>
        </w:rPr>
        <w:t>, G. (2016). Top 10 operational impacts of the GDPR: Part 3 – consent. Retrieved from https://iapp.org/news/a/top-10-operational-impacts-of-the-gdpr-part-3-consent/</w:t>
      </w:r>
    </w:p>
    <w:p w:rsidR="00D82796" w:rsidRPr="00783798" w:rsidRDefault="00D82796" w:rsidP="006642F3">
      <w:pPr>
        <w:jc w:val="both"/>
        <w:rPr>
          <w:rFonts w:cs="Times New Roman"/>
          <w:lang w:val="en-US"/>
        </w:rPr>
      </w:pPr>
      <w:proofErr w:type="spellStart"/>
      <w:r w:rsidRPr="00783798">
        <w:rPr>
          <w:rFonts w:cs="Times New Roman"/>
          <w:lang w:val="en-US"/>
        </w:rPr>
        <w:t>Maldoff</w:t>
      </w:r>
      <w:proofErr w:type="spellEnd"/>
      <w:r w:rsidRPr="00783798">
        <w:rPr>
          <w:rFonts w:cs="Times New Roman"/>
          <w:lang w:val="en-US"/>
        </w:rPr>
        <w:t xml:space="preserve">, G. (2016). Top 10 operational impacts of the GDPR: Part 8 – </w:t>
      </w:r>
      <w:proofErr w:type="spellStart"/>
      <w:r w:rsidRPr="00783798">
        <w:rPr>
          <w:rFonts w:cs="Times New Roman"/>
          <w:lang w:val="en-US"/>
        </w:rPr>
        <w:t>Pseudonymization</w:t>
      </w:r>
      <w:proofErr w:type="spellEnd"/>
      <w:r w:rsidRPr="00783798">
        <w:rPr>
          <w:rFonts w:cs="Times New Roman"/>
          <w:lang w:val="en-US"/>
        </w:rPr>
        <w:t>. Retrieved from https://iapp.org/news/a/top-10-operational-impacts-of-the-gdpr-part-8-pseudonymization</w:t>
      </w:r>
    </w:p>
    <w:p w:rsidR="00D82796" w:rsidRPr="00783798" w:rsidRDefault="00D82796" w:rsidP="006642F3">
      <w:pPr>
        <w:jc w:val="both"/>
        <w:rPr>
          <w:rFonts w:cs="Times New Roman"/>
          <w:lang w:val="en-US"/>
        </w:rPr>
      </w:pPr>
      <w:proofErr w:type="spellStart"/>
      <w:r w:rsidRPr="00783798">
        <w:rPr>
          <w:rFonts w:cs="Times New Roman"/>
          <w:lang w:val="en-US"/>
        </w:rPr>
        <w:t>Maldoff</w:t>
      </w:r>
      <w:proofErr w:type="spellEnd"/>
      <w:r w:rsidRPr="00783798">
        <w:rPr>
          <w:rFonts w:cs="Times New Roman"/>
          <w:lang w:val="en-US"/>
        </w:rPr>
        <w:t xml:space="preserve">, G. (2016). </w:t>
      </w:r>
      <w:r w:rsidR="00A528BC" w:rsidRPr="00783798">
        <w:rPr>
          <w:rFonts w:cs="Times New Roman"/>
          <w:lang w:val="en-US"/>
        </w:rPr>
        <w:t>How GDPR changes the rules for research. Retrieved from https://iapp.org/news/a/how-gdpr-changes-the-rules-for-research/</w:t>
      </w:r>
    </w:p>
    <w:p w:rsidR="000464BC" w:rsidRPr="00783798" w:rsidRDefault="000464BC" w:rsidP="000464BC">
      <w:pPr>
        <w:jc w:val="both"/>
        <w:rPr>
          <w:rFonts w:cs="Times New Roman"/>
        </w:rPr>
      </w:pPr>
      <w:r w:rsidRPr="00783798">
        <w:rPr>
          <w:rFonts w:cs="Times New Roman"/>
        </w:rPr>
        <w:t xml:space="preserve">Massey, D.S., &amp; </w:t>
      </w:r>
      <w:proofErr w:type="spellStart"/>
      <w:r w:rsidRPr="00783798">
        <w:rPr>
          <w:rFonts w:cs="Times New Roman"/>
        </w:rPr>
        <w:t>Tourangeau</w:t>
      </w:r>
      <w:proofErr w:type="spellEnd"/>
      <w:r w:rsidRPr="00783798">
        <w:rPr>
          <w:rFonts w:cs="Times New Roman"/>
        </w:rPr>
        <w:t xml:space="preserve">, R. (2013) </w:t>
      </w:r>
      <w:proofErr w:type="gramStart"/>
      <w:r w:rsidRPr="00783798">
        <w:rPr>
          <w:rFonts w:cs="Times New Roman"/>
        </w:rPr>
        <w:t>The</w:t>
      </w:r>
      <w:proofErr w:type="gramEnd"/>
      <w:r w:rsidRPr="00783798">
        <w:rPr>
          <w:rFonts w:cs="Times New Roman"/>
        </w:rPr>
        <w:t xml:space="preserve"> nonresponse challenge to surveys and statistics. Annals of the American Academy of Political and Social Science, 645, 6-27.</w:t>
      </w:r>
    </w:p>
    <w:p w:rsidR="000A54D7" w:rsidRPr="00783798" w:rsidRDefault="000464BC" w:rsidP="000464BC">
      <w:pPr>
        <w:jc w:val="both"/>
        <w:rPr>
          <w:rFonts w:cs="Times New Roman"/>
        </w:rPr>
      </w:pPr>
      <w:proofErr w:type="spellStart"/>
      <w:r w:rsidRPr="00783798">
        <w:rPr>
          <w:rFonts w:cs="Times New Roman"/>
        </w:rPr>
        <w:t>Peytchev</w:t>
      </w:r>
      <w:proofErr w:type="spellEnd"/>
      <w:r w:rsidRPr="00783798">
        <w:rPr>
          <w:rFonts w:cs="Times New Roman"/>
        </w:rPr>
        <w:t xml:space="preserve">, A. (2013). </w:t>
      </w:r>
      <w:proofErr w:type="gramStart"/>
      <w:r w:rsidRPr="00783798">
        <w:rPr>
          <w:rFonts w:cs="Times New Roman"/>
        </w:rPr>
        <w:t>Consequences of survey nonresponse.</w:t>
      </w:r>
      <w:proofErr w:type="gramEnd"/>
      <w:r w:rsidRPr="00783798">
        <w:rPr>
          <w:rFonts w:cs="Times New Roman"/>
        </w:rPr>
        <w:t xml:space="preserve"> Annals of the American Academy of Political and Social Science, 645, 88-111.</w:t>
      </w:r>
    </w:p>
    <w:p w:rsidR="00FC08EB" w:rsidRPr="00783798" w:rsidRDefault="00FC08EB" w:rsidP="000464BC">
      <w:pPr>
        <w:jc w:val="both"/>
        <w:rPr>
          <w:rFonts w:cs="Times New Roman"/>
        </w:rPr>
      </w:pPr>
      <w:proofErr w:type="gramStart"/>
      <w:r w:rsidRPr="00783798">
        <w:rPr>
          <w:rFonts w:cs="Times New Roman"/>
        </w:rPr>
        <w:t>Proposal for a regulation of the European parliament and of the council on the protection of individuals with regard to the processing of personal data and on the free movement of such data (General Data Protection Regulation) (2012).</w:t>
      </w:r>
      <w:proofErr w:type="gramEnd"/>
      <w:r w:rsidRPr="00783798">
        <w:rPr>
          <w:rFonts w:cs="Times New Roman"/>
        </w:rPr>
        <w:t xml:space="preserve"> Retrieved from http://ec.europa.eu/justice/data-protection/document/review2012/com_2012_11_en.pdf</w:t>
      </w:r>
    </w:p>
    <w:p w:rsidR="00FC08EB" w:rsidRPr="00783798" w:rsidRDefault="00FC08EB" w:rsidP="000464BC">
      <w:pPr>
        <w:jc w:val="both"/>
        <w:rPr>
          <w:rFonts w:cs="Times New Roman"/>
        </w:rPr>
      </w:pPr>
      <w:r w:rsidRPr="00783798">
        <w:rPr>
          <w:rFonts w:cs="Times New Roman"/>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(2016). Retrieved from http://eur-lex.europa.eu/legal-content/EN/TXT/?uri=uriserv:OJ.L_.2016.119.01.0001.01.ENG&amp;toc=OJ:L:2016:119:TOC</w:t>
      </w:r>
    </w:p>
    <w:p w:rsidR="00FC08EB" w:rsidRPr="00783798" w:rsidRDefault="00FC08EB" w:rsidP="000464BC">
      <w:pPr>
        <w:jc w:val="both"/>
        <w:rPr>
          <w:rFonts w:cs="Times New Roman"/>
        </w:rPr>
      </w:pPr>
      <w:r w:rsidRPr="00783798">
        <w:rPr>
          <w:rFonts w:cs="Times New Roman"/>
        </w:rPr>
        <w:t xml:space="preserve">Singer, E. (2008). </w:t>
      </w:r>
      <w:proofErr w:type="gramStart"/>
      <w:r w:rsidRPr="00783798">
        <w:rPr>
          <w:rFonts w:cs="Times New Roman"/>
        </w:rPr>
        <w:t>Ethical Issues in Surveys.</w:t>
      </w:r>
      <w:proofErr w:type="gramEnd"/>
      <w:r w:rsidRPr="00783798">
        <w:rPr>
          <w:rFonts w:cs="Times New Roman"/>
        </w:rPr>
        <w:t xml:space="preserve"> </w:t>
      </w:r>
      <w:proofErr w:type="gramStart"/>
      <w:r w:rsidRPr="00783798">
        <w:rPr>
          <w:rFonts w:cs="Times New Roman"/>
        </w:rPr>
        <w:t xml:space="preserve">In E. D. de </w:t>
      </w:r>
      <w:proofErr w:type="spellStart"/>
      <w:r w:rsidRPr="00783798">
        <w:rPr>
          <w:rFonts w:cs="Times New Roman"/>
        </w:rPr>
        <w:t>Leeuw</w:t>
      </w:r>
      <w:proofErr w:type="spellEnd"/>
      <w:r w:rsidRPr="00783798">
        <w:rPr>
          <w:rFonts w:cs="Times New Roman"/>
        </w:rPr>
        <w:t xml:space="preserve">, J. J. </w:t>
      </w:r>
      <w:proofErr w:type="spellStart"/>
      <w:r w:rsidRPr="00783798">
        <w:rPr>
          <w:rFonts w:cs="Times New Roman"/>
        </w:rPr>
        <w:t>Hox</w:t>
      </w:r>
      <w:proofErr w:type="spellEnd"/>
      <w:r w:rsidRPr="00783798">
        <w:rPr>
          <w:rFonts w:cs="Times New Roman"/>
        </w:rPr>
        <w:t xml:space="preserve"> &amp; D. A. </w:t>
      </w:r>
      <w:proofErr w:type="spellStart"/>
      <w:r w:rsidRPr="00783798">
        <w:rPr>
          <w:rFonts w:cs="Times New Roman"/>
        </w:rPr>
        <w:t>Dillman</w:t>
      </w:r>
      <w:proofErr w:type="spellEnd"/>
      <w:r w:rsidRPr="00783798">
        <w:rPr>
          <w:rFonts w:cs="Times New Roman"/>
        </w:rPr>
        <w:t xml:space="preserve"> (</w:t>
      </w:r>
      <w:proofErr w:type="spellStart"/>
      <w:r w:rsidRPr="00783798">
        <w:rPr>
          <w:rFonts w:cs="Times New Roman"/>
        </w:rPr>
        <w:t>Eds</w:t>
      </w:r>
      <w:proofErr w:type="spellEnd"/>
      <w:r w:rsidRPr="00783798">
        <w:rPr>
          <w:rFonts w:cs="Times New Roman"/>
        </w:rPr>
        <w:t>).</w:t>
      </w:r>
      <w:proofErr w:type="gramEnd"/>
      <w:r w:rsidRPr="00783798">
        <w:rPr>
          <w:rFonts w:cs="Times New Roman"/>
        </w:rPr>
        <w:t xml:space="preserve"> International Handbook of Survey Methodology (pp.78-96). New York, NY: Psychology Press, Taylor &amp;Francis</w:t>
      </w:r>
    </w:p>
    <w:p w:rsidR="009161F0" w:rsidRPr="00783798" w:rsidRDefault="009161F0" w:rsidP="000464BC">
      <w:pPr>
        <w:jc w:val="both"/>
        <w:rPr>
          <w:rFonts w:cs="Times New Roman"/>
        </w:rPr>
      </w:pPr>
      <w:proofErr w:type="gramStart"/>
      <w:r w:rsidRPr="00783798">
        <w:rPr>
          <w:rFonts w:cs="Times New Roman"/>
        </w:rPr>
        <w:t>The Norwegian National Committees for Research Ethics (2015).</w:t>
      </w:r>
      <w:proofErr w:type="gramEnd"/>
      <w:r w:rsidRPr="00783798">
        <w:rPr>
          <w:rFonts w:cs="Times New Roman"/>
        </w:rPr>
        <w:t xml:space="preserve"> Ethical Guidelines for Internet Research: 1. Public or private? Retrieved from https://www.etikkom.no/en/ethical-guidelines-for-research/ethical-guidelines-for-internet-research/1.-public-or-private/</w:t>
      </w:r>
    </w:p>
    <w:sectPr w:rsidR="009161F0" w:rsidRPr="0078379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16E" w:rsidRDefault="00B1316E" w:rsidP="003714FB">
      <w:pPr>
        <w:spacing w:after="0" w:line="240" w:lineRule="auto"/>
      </w:pPr>
      <w:r>
        <w:separator/>
      </w:r>
    </w:p>
  </w:endnote>
  <w:endnote w:type="continuationSeparator" w:id="0">
    <w:p w:rsidR="00B1316E" w:rsidRDefault="00B1316E" w:rsidP="00371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946197"/>
      <w:docPartObj>
        <w:docPartGallery w:val="Page Numbers (Bottom of Page)"/>
        <w:docPartUnique/>
      </w:docPartObj>
    </w:sdtPr>
    <w:sdtEndPr/>
    <w:sdtContent>
      <w:p w:rsidR="003714FB" w:rsidRDefault="003714FB">
        <w:pPr>
          <w:pStyle w:val="Bunntekst"/>
          <w:jc w:val="right"/>
        </w:pPr>
        <w:r>
          <w:fldChar w:fldCharType="begin"/>
        </w:r>
        <w:r>
          <w:instrText>PAGE   \* MERGEFORMAT</w:instrText>
        </w:r>
        <w:r>
          <w:fldChar w:fldCharType="separate"/>
        </w:r>
        <w:r w:rsidR="00783798" w:rsidRPr="00783798">
          <w:rPr>
            <w:noProof/>
            <w:lang w:val="nb-NO"/>
          </w:rPr>
          <w:t>1</w:t>
        </w:r>
        <w:r>
          <w:fldChar w:fldCharType="end"/>
        </w:r>
      </w:p>
    </w:sdtContent>
  </w:sdt>
  <w:p w:rsidR="003714FB" w:rsidRDefault="003714FB">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16E" w:rsidRDefault="00B1316E" w:rsidP="003714FB">
      <w:pPr>
        <w:spacing w:after="0" w:line="240" w:lineRule="auto"/>
      </w:pPr>
      <w:r>
        <w:separator/>
      </w:r>
    </w:p>
  </w:footnote>
  <w:footnote w:type="continuationSeparator" w:id="0">
    <w:p w:rsidR="00B1316E" w:rsidRDefault="00B1316E" w:rsidP="003714FB">
      <w:pPr>
        <w:spacing w:after="0" w:line="240" w:lineRule="auto"/>
      </w:pPr>
      <w:r>
        <w:continuationSeparator/>
      </w:r>
    </w:p>
  </w:footnote>
  <w:footnote w:id="1">
    <w:p w:rsidR="00CD0AD0" w:rsidRPr="00CD0AD0" w:rsidRDefault="00CD0AD0">
      <w:pPr>
        <w:pStyle w:val="Fotnotetekst"/>
      </w:pPr>
      <w:r w:rsidRPr="00CD0AD0">
        <w:rPr>
          <w:rStyle w:val="Fotnotereferanse"/>
        </w:rPr>
        <w:footnoteRef/>
      </w:r>
      <w:r w:rsidRPr="00CD0AD0">
        <w:t xml:space="preserve"> </w:t>
      </w:r>
      <w:proofErr w:type="spellStart"/>
      <w:r w:rsidRPr="00CD0AD0">
        <w:t>Pseudonymisation</w:t>
      </w:r>
      <w:proofErr w:type="spellEnd"/>
      <w:r w:rsidRPr="00CD0AD0">
        <w:t xml:space="preserve"> is</w:t>
      </w:r>
      <w:r w:rsidR="00AC4B47">
        <w:t xml:space="preserve"> defined as</w:t>
      </w:r>
      <w:r w:rsidRPr="00CD0AD0">
        <w:t xml:space="preserve"> «the processing of personal data in such a way that the data can no longer be attributed to a specific data subject without the use of additional information, as long as such additional </w:t>
      </w:r>
      <w:r>
        <w:t>information is kept separately and subject to technical and organisational measures to ensure non-attribution to an identified or identifiable individual” (Article 4</w:t>
      </w:r>
      <w:r w:rsidR="008C3A5D">
        <w:t>(</w:t>
      </w:r>
      <w:r>
        <w:t>3</w:t>
      </w:r>
      <w:proofErr w:type="gramStart"/>
      <w:r w:rsidR="008C3A5D">
        <w:t>)</w:t>
      </w:r>
      <w:r>
        <w:t>(</w:t>
      </w:r>
      <w:proofErr w:type="gramEnd"/>
      <w:r>
        <w:t>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847"/>
    <w:rsid w:val="000464BC"/>
    <w:rsid w:val="00050F04"/>
    <w:rsid w:val="00053E3C"/>
    <w:rsid w:val="00066816"/>
    <w:rsid w:val="0006730B"/>
    <w:rsid w:val="00067EEE"/>
    <w:rsid w:val="000801C5"/>
    <w:rsid w:val="00084CE1"/>
    <w:rsid w:val="000A54D7"/>
    <w:rsid w:val="000B5B8C"/>
    <w:rsid w:val="000B73EB"/>
    <w:rsid w:val="000D5C78"/>
    <w:rsid w:val="000D77D6"/>
    <w:rsid w:val="000E2F2F"/>
    <w:rsid w:val="000F79E2"/>
    <w:rsid w:val="00103AD4"/>
    <w:rsid w:val="00104D4F"/>
    <w:rsid w:val="00105A14"/>
    <w:rsid w:val="001361CD"/>
    <w:rsid w:val="00150800"/>
    <w:rsid w:val="00153272"/>
    <w:rsid w:val="001554CF"/>
    <w:rsid w:val="00156DE5"/>
    <w:rsid w:val="00191633"/>
    <w:rsid w:val="001F5FFF"/>
    <w:rsid w:val="00216280"/>
    <w:rsid w:val="0023161D"/>
    <w:rsid w:val="00241B04"/>
    <w:rsid w:val="002522A3"/>
    <w:rsid w:val="002553BE"/>
    <w:rsid w:val="00261724"/>
    <w:rsid w:val="00261DB5"/>
    <w:rsid w:val="00290068"/>
    <w:rsid w:val="00290F0C"/>
    <w:rsid w:val="0029702F"/>
    <w:rsid w:val="002A4894"/>
    <w:rsid w:val="002B02AA"/>
    <w:rsid w:val="002C0D02"/>
    <w:rsid w:val="002C49B8"/>
    <w:rsid w:val="002D3C77"/>
    <w:rsid w:val="002D72F0"/>
    <w:rsid w:val="00302EBB"/>
    <w:rsid w:val="0031478D"/>
    <w:rsid w:val="003277B9"/>
    <w:rsid w:val="00334968"/>
    <w:rsid w:val="00344E30"/>
    <w:rsid w:val="0035009D"/>
    <w:rsid w:val="0035085E"/>
    <w:rsid w:val="00354F89"/>
    <w:rsid w:val="003714FB"/>
    <w:rsid w:val="00393C4E"/>
    <w:rsid w:val="003A4B6D"/>
    <w:rsid w:val="003B2270"/>
    <w:rsid w:val="003C1FB9"/>
    <w:rsid w:val="003E248D"/>
    <w:rsid w:val="004056F3"/>
    <w:rsid w:val="0041210B"/>
    <w:rsid w:val="00413D78"/>
    <w:rsid w:val="00413E6D"/>
    <w:rsid w:val="00446C42"/>
    <w:rsid w:val="0045596A"/>
    <w:rsid w:val="0045631E"/>
    <w:rsid w:val="004A251D"/>
    <w:rsid w:val="004B2938"/>
    <w:rsid w:val="004B3C50"/>
    <w:rsid w:val="004C3830"/>
    <w:rsid w:val="004E5491"/>
    <w:rsid w:val="004E5F2E"/>
    <w:rsid w:val="004F189E"/>
    <w:rsid w:val="004F3710"/>
    <w:rsid w:val="004F73C7"/>
    <w:rsid w:val="00504003"/>
    <w:rsid w:val="00523199"/>
    <w:rsid w:val="00527101"/>
    <w:rsid w:val="00532547"/>
    <w:rsid w:val="0053665C"/>
    <w:rsid w:val="005369DE"/>
    <w:rsid w:val="005434FA"/>
    <w:rsid w:val="00547A61"/>
    <w:rsid w:val="00557894"/>
    <w:rsid w:val="0057436E"/>
    <w:rsid w:val="0059729A"/>
    <w:rsid w:val="005C2CE3"/>
    <w:rsid w:val="005C3E6F"/>
    <w:rsid w:val="005F4B50"/>
    <w:rsid w:val="005F4BC3"/>
    <w:rsid w:val="006000E7"/>
    <w:rsid w:val="006018A2"/>
    <w:rsid w:val="00605C4E"/>
    <w:rsid w:val="00622CEE"/>
    <w:rsid w:val="00652F83"/>
    <w:rsid w:val="006642F3"/>
    <w:rsid w:val="0067533E"/>
    <w:rsid w:val="00677351"/>
    <w:rsid w:val="006B4432"/>
    <w:rsid w:val="006B5095"/>
    <w:rsid w:val="006C0553"/>
    <w:rsid w:val="006C078A"/>
    <w:rsid w:val="006C24D4"/>
    <w:rsid w:val="00707D68"/>
    <w:rsid w:val="00741C6C"/>
    <w:rsid w:val="00747436"/>
    <w:rsid w:val="00752B80"/>
    <w:rsid w:val="007616A0"/>
    <w:rsid w:val="00761A16"/>
    <w:rsid w:val="007724E1"/>
    <w:rsid w:val="00783798"/>
    <w:rsid w:val="00793378"/>
    <w:rsid w:val="007A2368"/>
    <w:rsid w:val="007B7899"/>
    <w:rsid w:val="007C5D45"/>
    <w:rsid w:val="007E4226"/>
    <w:rsid w:val="007E4499"/>
    <w:rsid w:val="007E59C6"/>
    <w:rsid w:val="007F600D"/>
    <w:rsid w:val="00801C02"/>
    <w:rsid w:val="00802017"/>
    <w:rsid w:val="00812D1B"/>
    <w:rsid w:val="00825926"/>
    <w:rsid w:val="00833FAD"/>
    <w:rsid w:val="00835EF6"/>
    <w:rsid w:val="00870FD9"/>
    <w:rsid w:val="00873A68"/>
    <w:rsid w:val="00875715"/>
    <w:rsid w:val="00880318"/>
    <w:rsid w:val="00893C0E"/>
    <w:rsid w:val="008978C7"/>
    <w:rsid w:val="008A1A8C"/>
    <w:rsid w:val="008B011A"/>
    <w:rsid w:val="008C3A5D"/>
    <w:rsid w:val="008D53E5"/>
    <w:rsid w:val="008F04F8"/>
    <w:rsid w:val="008F4186"/>
    <w:rsid w:val="008F5742"/>
    <w:rsid w:val="00907971"/>
    <w:rsid w:val="009161F0"/>
    <w:rsid w:val="00922E52"/>
    <w:rsid w:val="0095425C"/>
    <w:rsid w:val="009701FC"/>
    <w:rsid w:val="009724B2"/>
    <w:rsid w:val="009A6CEC"/>
    <w:rsid w:val="009C5444"/>
    <w:rsid w:val="009D4FE2"/>
    <w:rsid w:val="009F733E"/>
    <w:rsid w:val="00A031A9"/>
    <w:rsid w:val="00A06836"/>
    <w:rsid w:val="00A41959"/>
    <w:rsid w:val="00A528BC"/>
    <w:rsid w:val="00A87EF9"/>
    <w:rsid w:val="00AA5B02"/>
    <w:rsid w:val="00AB4D8B"/>
    <w:rsid w:val="00AC4B47"/>
    <w:rsid w:val="00AE28C4"/>
    <w:rsid w:val="00B1316E"/>
    <w:rsid w:val="00B15BBF"/>
    <w:rsid w:val="00B460C1"/>
    <w:rsid w:val="00B720A8"/>
    <w:rsid w:val="00B7576C"/>
    <w:rsid w:val="00B822F8"/>
    <w:rsid w:val="00BB2D74"/>
    <w:rsid w:val="00BC59A4"/>
    <w:rsid w:val="00BD3983"/>
    <w:rsid w:val="00BD5C8B"/>
    <w:rsid w:val="00BD5D53"/>
    <w:rsid w:val="00BE0127"/>
    <w:rsid w:val="00C24014"/>
    <w:rsid w:val="00C31B77"/>
    <w:rsid w:val="00C37D2D"/>
    <w:rsid w:val="00C85B3F"/>
    <w:rsid w:val="00C86C93"/>
    <w:rsid w:val="00C95D94"/>
    <w:rsid w:val="00CA403D"/>
    <w:rsid w:val="00CD0AD0"/>
    <w:rsid w:val="00CD5C61"/>
    <w:rsid w:val="00CF3FB8"/>
    <w:rsid w:val="00CF5664"/>
    <w:rsid w:val="00D336F5"/>
    <w:rsid w:val="00D51D7D"/>
    <w:rsid w:val="00D74A5A"/>
    <w:rsid w:val="00D82796"/>
    <w:rsid w:val="00D90109"/>
    <w:rsid w:val="00DA5876"/>
    <w:rsid w:val="00DA794A"/>
    <w:rsid w:val="00DD0203"/>
    <w:rsid w:val="00DE773D"/>
    <w:rsid w:val="00DE7C37"/>
    <w:rsid w:val="00DF59DE"/>
    <w:rsid w:val="00E04B7A"/>
    <w:rsid w:val="00E2018A"/>
    <w:rsid w:val="00E47EEE"/>
    <w:rsid w:val="00E51847"/>
    <w:rsid w:val="00E60508"/>
    <w:rsid w:val="00E62240"/>
    <w:rsid w:val="00E64A37"/>
    <w:rsid w:val="00E82C9C"/>
    <w:rsid w:val="00E875D3"/>
    <w:rsid w:val="00EA6099"/>
    <w:rsid w:val="00EC0433"/>
    <w:rsid w:val="00EC18F1"/>
    <w:rsid w:val="00EF0989"/>
    <w:rsid w:val="00EF6390"/>
    <w:rsid w:val="00F25B01"/>
    <w:rsid w:val="00F47E46"/>
    <w:rsid w:val="00F523BF"/>
    <w:rsid w:val="00F7656D"/>
    <w:rsid w:val="00FA0A98"/>
    <w:rsid w:val="00FA4919"/>
    <w:rsid w:val="00FA5E06"/>
    <w:rsid w:val="00FC08EB"/>
    <w:rsid w:val="00FC633C"/>
    <w:rsid w:val="00FE6269"/>
    <w:rsid w:val="00FF7020"/>
    <w:rsid w:val="00FF7A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847"/>
    <w:rPr>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714F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714FB"/>
    <w:rPr>
      <w:lang w:val="en-GB"/>
    </w:rPr>
  </w:style>
  <w:style w:type="paragraph" w:styleId="Bunntekst">
    <w:name w:val="footer"/>
    <w:basedOn w:val="Normal"/>
    <w:link w:val="BunntekstTegn"/>
    <w:uiPriority w:val="99"/>
    <w:unhideWhenUsed/>
    <w:rsid w:val="003714F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714FB"/>
    <w:rPr>
      <w:lang w:val="en-GB"/>
    </w:rPr>
  </w:style>
  <w:style w:type="paragraph" w:styleId="Bobletekst">
    <w:name w:val="Balloon Text"/>
    <w:basedOn w:val="Normal"/>
    <w:link w:val="BobletekstTegn"/>
    <w:uiPriority w:val="99"/>
    <w:semiHidden/>
    <w:unhideWhenUsed/>
    <w:rsid w:val="00290F0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90F0C"/>
    <w:rPr>
      <w:rFonts w:ascii="Tahoma" w:hAnsi="Tahoma" w:cs="Tahoma"/>
      <w:sz w:val="16"/>
      <w:szCs w:val="16"/>
      <w:lang w:val="en-GB"/>
    </w:rPr>
  </w:style>
  <w:style w:type="paragraph" w:styleId="Fotnotetekst">
    <w:name w:val="footnote text"/>
    <w:basedOn w:val="Normal"/>
    <w:link w:val="FotnotetekstTegn"/>
    <w:uiPriority w:val="99"/>
    <w:semiHidden/>
    <w:unhideWhenUsed/>
    <w:rsid w:val="00CD0AD0"/>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CD0AD0"/>
    <w:rPr>
      <w:sz w:val="20"/>
      <w:szCs w:val="20"/>
      <w:lang w:val="en-GB"/>
    </w:rPr>
  </w:style>
  <w:style w:type="character" w:styleId="Fotnotereferanse">
    <w:name w:val="footnote reference"/>
    <w:basedOn w:val="Standardskriftforavsnitt"/>
    <w:uiPriority w:val="99"/>
    <w:semiHidden/>
    <w:unhideWhenUsed/>
    <w:rsid w:val="00CD0AD0"/>
    <w:rPr>
      <w:vertAlign w:val="superscript"/>
    </w:rPr>
  </w:style>
  <w:style w:type="paragraph" w:styleId="NormalWeb">
    <w:name w:val="Normal (Web)"/>
    <w:basedOn w:val="Normal"/>
    <w:uiPriority w:val="99"/>
    <w:semiHidden/>
    <w:unhideWhenUsed/>
    <w:rsid w:val="00DF59DE"/>
    <w:pPr>
      <w:spacing w:before="100" w:beforeAutospacing="1" w:after="100" w:afterAutospacing="1" w:line="240" w:lineRule="auto"/>
    </w:pPr>
    <w:rPr>
      <w:rFonts w:ascii="Times New Roman" w:eastAsia="Times New Roman" w:hAnsi="Times New Roman" w:cs="Times New Roman"/>
      <w:sz w:val="24"/>
      <w:szCs w:val="24"/>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847"/>
    <w:rPr>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714F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714FB"/>
    <w:rPr>
      <w:lang w:val="en-GB"/>
    </w:rPr>
  </w:style>
  <w:style w:type="paragraph" w:styleId="Bunntekst">
    <w:name w:val="footer"/>
    <w:basedOn w:val="Normal"/>
    <w:link w:val="BunntekstTegn"/>
    <w:uiPriority w:val="99"/>
    <w:unhideWhenUsed/>
    <w:rsid w:val="003714F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714FB"/>
    <w:rPr>
      <w:lang w:val="en-GB"/>
    </w:rPr>
  </w:style>
  <w:style w:type="paragraph" w:styleId="Bobletekst">
    <w:name w:val="Balloon Text"/>
    <w:basedOn w:val="Normal"/>
    <w:link w:val="BobletekstTegn"/>
    <w:uiPriority w:val="99"/>
    <w:semiHidden/>
    <w:unhideWhenUsed/>
    <w:rsid w:val="00290F0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90F0C"/>
    <w:rPr>
      <w:rFonts w:ascii="Tahoma" w:hAnsi="Tahoma" w:cs="Tahoma"/>
      <w:sz w:val="16"/>
      <w:szCs w:val="16"/>
      <w:lang w:val="en-GB"/>
    </w:rPr>
  </w:style>
  <w:style w:type="paragraph" w:styleId="Fotnotetekst">
    <w:name w:val="footnote text"/>
    <w:basedOn w:val="Normal"/>
    <w:link w:val="FotnotetekstTegn"/>
    <w:uiPriority w:val="99"/>
    <w:semiHidden/>
    <w:unhideWhenUsed/>
    <w:rsid w:val="00CD0AD0"/>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CD0AD0"/>
    <w:rPr>
      <w:sz w:val="20"/>
      <w:szCs w:val="20"/>
      <w:lang w:val="en-GB"/>
    </w:rPr>
  </w:style>
  <w:style w:type="character" w:styleId="Fotnotereferanse">
    <w:name w:val="footnote reference"/>
    <w:basedOn w:val="Standardskriftforavsnitt"/>
    <w:uiPriority w:val="99"/>
    <w:semiHidden/>
    <w:unhideWhenUsed/>
    <w:rsid w:val="00CD0AD0"/>
    <w:rPr>
      <w:vertAlign w:val="superscript"/>
    </w:rPr>
  </w:style>
  <w:style w:type="paragraph" w:styleId="NormalWeb">
    <w:name w:val="Normal (Web)"/>
    <w:basedOn w:val="Normal"/>
    <w:uiPriority w:val="99"/>
    <w:semiHidden/>
    <w:unhideWhenUsed/>
    <w:rsid w:val="00DF59DE"/>
    <w:pPr>
      <w:spacing w:before="100" w:beforeAutospacing="1" w:after="100" w:afterAutospacing="1" w:line="240" w:lineRule="auto"/>
    </w:pPr>
    <w:rPr>
      <w:rFonts w:ascii="Times New Roman" w:eastAsia="Times New Roman" w:hAnsi="Times New Roman" w:cs="Times New Roman"/>
      <w:sz w:val="24"/>
      <w:szCs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9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2626D-8DA6-408B-AD5D-5379EC67B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2016</TotalTime>
  <Pages>7</Pages>
  <Words>3640</Words>
  <Characters>19297</Characters>
  <Application>Microsoft Office Word</Application>
  <DocSecurity>0</DocSecurity>
  <Lines>160</Lines>
  <Paragraphs>45</Paragraphs>
  <ScaleCrop>false</ScaleCrop>
  <HeadingPairs>
    <vt:vector size="2" baseType="variant">
      <vt:variant>
        <vt:lpstr>Tittel</vt:lpstr>
      </vt:variant>
      <vt:variant>
        <vt:i4>1</vt:i4>
      </vt:variant>
    </vt:vector>
  </HeadingPairs>
  <TitlesOfParts>
    <vt:vector size="1" baseType="lpstr">
      <vt:lpstr/>
    </vt:vector>
  </TitlesOfParts>
  <Company>Norsk Samfunnsvitenskapelig Datatjeneste</Company>
  <LinksUpToDate>false</LinksUpToDate>
  <CharactersWithSpaces>22892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Linn-Merethe Rød</dc:creator>
  <cp:lastModifiedBy>Linn-Merethe Rød</cp:lastModifiedBy>
  <cp:revision>126</cp:revision>
  <cp:lastPrinted>2016-07-13T13:45:00Z</cp:lastPrinted>
  <dcterms:created xsi:type="dcterms:W3CDTF">2016-06-24T10:20:00Z</dcterms:created>
  <dcterms:modified xsi:type="dcterms:W3CDTF">2016-07-14T06:56:00Z</dcterms:modified>
</cp:coreProperties>
</file>