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4E7E8" w14:textId="2C142B3E" w:rsidR="005A39AE" w:rsidRPr="00244B44" w:rsidRDefault="00244B44">
      <w:pPr>
        <w:rPr>
          <w:rFonts w:ascii="Times New Roman" w:hAnsi="Times New Roman" w:cs="Times New Roman"/>
          <w:b/>
          <w:bCs/>
          <w:sz w:val="24"/>
          <w:szCs w:val="24"/>
        </w:rPr>
      </w:pPr>
      <w:r w:rsidRPr="00244B44">
        <w:rPr>
          <w:rFonts w:ascii="Times New Roman" w:hAnsi="Times New Roman" w:cs="Times New Roman"/>
          <w:b/>
          <w:bCs/>
          <w:sz w:val="24"/>
          <w:szCs w:val="24"/>
        </w:rPr>
        <w:t>Non-response Bias Adjustments in the National Health Interview Survey (NHIS)</w:t>
      </w:r>
    </w:p>
    <w:p w14:paraId="1CCBBD12" w14:textId="412004C5" w:rsidR="00244B44" w:rsidRPr="00244B44" w:rsidRDefault="00244B44">
      <w:pPr>
        <w:rPr>
          <w:rFonts w:ascii="Times New Roman" w:hAnsi="Times New Roman" w:cs="Times New Roman"/>
          <w:sz w:val="24"/>
          <w:szCs w:val="24"/>
        </w:rPr>
      </w:pPr>
      <w:r w:rsidRPr="00244B44">
        <w:rPr>
          <w:rFonts w:ascii="Times New Roman" w:hAnsi="Times New Roman" w:cs="Times New Roman"/>
          <w:sz w:val="24"/>
          <w:szCs w:val="24"/>
        </w:rPr>
        <w:t>Ronaldo Iachan, ICF</w:t>
      </w:r>
    </w:p>
    <w:p w14:paraId="0463DC8D" w14:textId="7A8814CF" w:rsidR="00244B44" w:rsidRPr="00244B44" w:rsidRDefault="00244B44">
      <w:pPr>
        <w:rPr>
          <w:rFonts w:ascii="Times New Roman" w:hAnsi="Times New Roman" w:cs="Times New Roman"/>
          <w:sz w:val="24"/>
          <w:szCs w:val="24"/>
        </w:rPr>
      </w:pPr>
      <w:r w:rsidRPr="00244B44">
        <w:rPr>
          <w:rFonts w:ascii="Times New Roman" w:hAnsi="Times New Roman" w:cs="Times New Roman"/>
          <w:sz w:val="24"/>
          <w:szCs w:val="24"/>
        </w:rPr>
        <w:t>Matt Jans, ICF</w:t>
      </w:r>
    </w:p>
    <w:p w14:paraId="51934F2C" w14:textId="569A89F1" w:rsidR="00244B44" w:rsidRPr="00244B44" w:rsidRDefault="00244B44">
      <w:pPr>
        <w:rPr>
          <w:rFonts w:ascii="Times New Roman" w:hAnsi="Times New Roman" w:cs="Times New Roman"/>
          <w:sz w:val="24"/>
          <w:szCs w:val="24"/>
        </w:rPr>
      </w:pPr>
      <w:r w:rsidRPr="00244B44">
        <w:rPr>
          <w:rFonts w:ascii="Times New Roman" w:hAnsi="Times New Roman" w:cs="Times New Roman"/>
          <w:sz w:val="24"/>
          <w:szCs w:val="24"/>
        </w:rPr>
        <w:t>Yangyang Deng, ICF</w:t>
      </w:r>
    </w:p>
    <w:p w14:paraId="01AAC828" w14:textId="567A28FC" w:rsidR="00244B44" w:rsidRDefault="00244B44">
      <w:pPr>
        <w:rPr>
          <w:rFonts w:ascii="Times New Roman" w:hAnsi="Times New Roman" w:cs="Times New Roman"/>
          <w:sz w:val="24"/>
          <w:szCs w:val="24"/>
        </w:rPr>
      </w:pPr>
      <w:r w:rsidRPr="00244B44">
        <w:rPr>
          <w:rFonts w:ascii="Times New Roman" w:hAnsi="Times New Roman" w:cs="Times New Roman"/>
          <w:sz w:val="24"/>
          <w:szCs w:val="24"/>
        </w:rPr>
        <w:t>Adam Lee, ICF</w:t>
      </w:r>
      <w:r w:rsidR="006C64CA">
        <w:rPr>
          <w:rFonts w:ascii="Times New Roman" w:hAnsi="Times New Roman" w:cs="Times New Roman"/>
          <w:sz w:val="24"/>
          <w:szCs w:val="24"/>
        </w:rPr>
        <w:br/>
        <w:t>Stephen Blumberg, NCHS</w:t>
      </w:r>
    </w:p>
    <w:p w14:paraId="27831EDE" w14:textId="467AED49" w:rsidR="006C64CA" w:rsidRDefault="006C64CA">
      <w:pPr>
        <w:rPr>
          <w:rFonts w:ascii="Times New Roman" w:hAnsi="Times New Roman" w:cs="Times New Roman"/>
          <w:sz w:val="24"/>
          <w:szCs w:val="24"/>
        </w:rPr>
      </w:pPr>
      <w:r>
        <w:rPr>
          <w:rFonts w:ascii="Times New Roman" w:hAnsi="Times New Roman" w:cs="Times New Roman"/>
          <w:sz w:val="24"/>
          <w:szCs w:val="24"/>
        </w:rPr>
        <w:t xml:space="preserve">Jim </w:t>
      </w:r>
      <w:proofErr w:type="spellStart"/>
      <w:r>
        <w:rPr>
          <w:rFonts w:ascii="Times New Roman" w:hAnsi="Times New Roman" w:cs="Times New Roman"/>
          <w:sz w:val="24"/>
          <w:szCs w:val="24"/>
        </w:rPr>
        <w:t>Dahlheimer</w:t>
      </w:r>
      <w:proofErr w:type="spellEnd"/>
      <w:r>
        <w:rPr>
          <w:rFonts w:ascii="Times New Roman" w:hAnsi="Times New Roman" w:cs="Times New Roman"/>
          <w:sz w:val="24"/>
          <w:szCs w:val="24"/>
        </w:rPr>
        <w:t>, NCHS</w:t>
      </w:r>
    </w:p>
    <w:p w14:paraId="60F5DA56" w14:textId="77777777" w:rsidR="00244B44" w:rsidRPr="00244B44" w:rsidRDefault="00244B44">
      <w:pPr>
        <w:rPr>
          <w:rFonts w:ascii="Times New Roman" w:hAnsi="Times New Roman" w:cs="Times New Roman"/>
          <w:sz w:val="24"/>
          <w:szCs w:val="24"/>
        </w:rPr>
      </w:pPr>
    </w:p>
    <w:p w14:paraId="3D618C91" w14:textId="1DB708D5" w:rsidR="00244B44" w:rsidRPr="00244B44" w:rsidRDefault="00244B44">
      <w:pPr>
        <w:rPr>
          <w:rFonts w:ascii="Times New Roman" w:hAnsi="Times New Roman" w:cs="Times New Roman"/>
          <w:i/>
          <w:iCs/>
          <w:sz w:val="24"/>
          <w:szCs w:val="24"/>
        </w:rPr>
      </w:pPr>
      <w:r w:rsidRPr="00244B44">
        <w:rPr>
          <w:rFonts w:ascii="Times New Roman" w:hAnsi="Times New Roman" w:cs="Times New Roman"/>
          <w:i/>
          <w:iCs/>
          <w:sz w:val="24"/>
          <w:szCs w:val="24"/>
        </w:rPr>
        <w:t>Introduction</w:t>
      </w:r>
    </w:p>
    <w:p w14:paraId="625A75FC" w14:textId="325C4F33" w:rsidR="00244B44" w:rsidRDefault="00244B44" w:rsidP="00244B44">
      <w:pPr>
        <w:pStyle w:val="BODY"/>
      </w:pPr>
      <w:r w:rsidRPr="00566788">
        <w:t>In long-running</w:t>
      </w:r>
      <w:r w:rsidR="006C64CA">
        <w:t xml:space="preserve"> </w:t>
      </w:r>
      <w:r w:rsidRPr="00566788">
        <w:t>surveys</w:t>
      </w:r>
      <w:r>
        <w:t>,</w:t>
      </w:r>
      <w:r w:rsidRPr="00566788">
        <w:t xml:space="preserve"> such as the National Health Interview Survey (NHIS), </w:t>
      </w:r>
      <w:r>
        <w:t xml:space="preserve">conducted by the National Center for Health Statistics (NCHS), sample and questionnaire redesigns offer an opportunity to assess and innovate weighting adjustments. NHIS has used a weighting class adjustment approach to correct for nonresponse bias, combined with </w:t>
      </w:r>
      <w:r w:rsidRPr="00360642">
        <w:t>post-stratification</w:t>
      </w:r>
      <w:r>
        <w:t xml:space="preserve">, to produce final weights since </w:t>
      </w:r>
      <w:r w:rsidRPr="00CA0DF9">
        <w:t>2010</w:t>
      </w:r>
      <w:r>
        <w:t xml:space="preserve">. Advances in statistical modeling and nonresponse research over the past 20 years make this an opportune time for NCHS to reconsider the nonresponse weighting approaches used for NHIS. </w:t>
      </w:r>
    </w:p>
    <w:p w14:paraId="436D202F" w14:textId="77777777" w:rsidR="00244B44" w:rsidRDefault="00244B44" w:rsidP="00244B44">
      <w:pPr>
        <w:pStyle w:val="BODY"/>
      </w:pPr>
      <w:r>
        <w:t xml:space="preserve">The primary study goal was to assess the possibility of using nonresponse prediction to inform the nonresponse adjustment. </w:t>
      </w:r>
      <w:r w:rsidRPr="0E9CCAAA">
        <w:t>The current</w:t>
      </w:r>
      <w:r>
        <w:t xml:space="preserve"> NHIS nonresponse weighting approach </w:t>
      </w:r>
      <w:r w:rsidRPr="008A4FD3">
        <w:t>only adjusts for the geographic area unit</w:t>
      </w:r>
      <w:r>
        <w:t xml:space="preserve"> and</w:t>
      </w:r>
      <w:r w:rsidRPr="008A4FD3">
        <w:t xml:space="preserve"> does not account for other factors that predict nonresponse</w:t>
      </w:r>
      <w:r>
        <w:t>, such as neighborhood characteristics and contact attempt history</w:t>
      </w:r>
      <w:r w:rsidRPr="008A4FD3">
        <w:t>.</w:t>
      </w:r>
      <w:r>
        <w:t xml:space="preserve"> Using regression modeling and machine learning methods to predict nonresponse and creating weighting adjustment classes from those results allow NHIS to include more predictors of response in the adjustment. As nonresponse bias is most likely to occur when response propensity is correlated with a key health indicator (KHI), the study focused on variables that predict both response and KHIs. </w:t>
      </w:r>
    </w:p>
    <w:p w14:paraId="4C788A88" w14:textId="72395E54" w:rsidR="00244B44" w:rsidRDefault="00244B44" w:rsidP="00244B44">
      <w:pPr>
        <w:pStyle w:val="BODY"/>
      </w:pPr>
      <w:r>
        <w:t xml:space="preserve">The </w:t>
      </w:r>
      <w:bookmarkStart w:id="0" w:name="_Hlk18335559"/>
      <w:r>
        <w:t>ICF</w:t>
      </w:r>
      <w:r w:rsidR="006C64CA">
        <w:t xml:space="preserve"> team </w:t>
      </w:r>
      <w:bookmarkEnd w:id="0"/>
      <w:r>
        <w:t>evaluated two regression approaches (single-level logistic regression and multilevel logistic regression) and two machine learning methods (random forest and l</w:t>
      </w:r>
      <w:r w:rsidRPr="008A4FD3">
        <w:t xml:space="preserve">east </w:t>
      </w:r>
      <w:r>
        <w:t>a</w:t>
      </w:r>
      <w:r w:rsidRPr="008A4FD3">
        <w:t xml:space="preserve">bsolute </w:t>
      </w:r>
      <w:r>
        <w:t>s</w:t>
      </w:r>
      <w:r w:rsidRPr="008A4FD3">
        <w:t xml:space="preserve">hrinkage and </w:t>
      </w:r>
      <w:r>
        <w:t>s</w:t>
      </w:r>
      <w:r w:rsidRPr="008A4FD3">
        <w:t xml:space="preserve">election </w:t>
      </w:r>
      <w:r>
        <w:t>o</w:t>
      </w:r>
      <w:r w:rsidRPr="008A4FD3">
        <w:t>perator</w:t>
      </w:r>
      <w:r>
        <w:t xml:space="preserve"> [LASSO]) for nonresponse weighting. In addition, for calibration, the team compared the current NHIS post-stratification to age, sex, and race/ethnicity population control totals with two raking approaches: one used the same calibration dimensions, while the other added education, employment, and metropolitan statistical area (MSA).</w:t>
      </w:r>
    </w:p>
    <w:p w14:paraId="1DE4AC3C" w14:textId="636E2879" w:rsidR="006C64CA" w:rsidRDefault="006C64CA" w:rsidP="00244B44">
      <w:pPr>
        <w:pStyle w:val="BODY"/>
      </w:pPr>
      <w:r>
        <w:t>This study was implemented in conjunction with the NHIS 2019 redesign, using data from the 2018 Quarter 4 Bridge Sample, in which only half of the NHIS sample received the redesigned protocols, and the 2019 Quarter 1 fully redesigned sample.</w:t>
      </w:r>
    </w:p>
    <w:p w14:paraId="215AF236" w14:textId="6FB72DC9" w:rsidR="00244B44" w:rsidRPr="00244B44" w:rsidRDefault="00244B44" w:rsidP="00244B44">
      <w:pPr>
        <w:pStyle w:val="BODY"/>
        <w:rPr>
          <w:i/>
          <w:iCs/>
        </w:rPr>
      </w:pPr>
      <w:r w:rsidRPr="00244B44">
        <w:rPr>
          <w:i/>
          <w:iCs/>
        </w:rPr>
        <w:t>Methods</w:t>
      </w:r>
    </w:p>
    <w:p w14:paraId="39BE5345" w14:textId="77777777" w:rsidR="00244B44" w:rsidRDefault="00244B44" w:rsidP="00244B44">
      <w:pPr>
        <w:widowControl w:val="0"/>
        <w:autoSpaceDE w:val="0"/>
        <w:autoSpaceDN w:val="0"/>
        <w:spacing w:before="90"/>
        <w:ind w:right="-20"/>
        <w:rPr>
          <w:i/>
          <w:iCs/>
          <w:color w:val="4472C4" w:themeColor="accent1"/>
          <w:sz w:val="24"/>
          <w:szCs w:val="24"/>
        </w:rPr>
      </w:pPr>
      <w:r w:rsidRPr="003D73F7">
        <w:rPr>
          <w:rFonts w:ascii="Times New Roman" w:eastAsia="Times New Roman" w:hAnsi="Times New Roman" w:cs="Times New Roman"/>
          <w:sz w:val="24"/>
          <w:szCs w:val="24"/>
          <w:lang w:bidi="en-US"/>
        </w:rPr>
        <w:t>The NHIS data structure, including its contact history</w:t>
      </w:r>
      <w:r>
        <w:rPr>
          <w:rFonts w:ascii="Times New Roman" w:eastAsia="Times New Roman" w:hAnsi="Times New Roman" w:cs="Times New Roman"/>
          <w:sz w:val="24"/>
          <w:szCs w:val="24"/>
          <w:lang w:bidi="en-US"/>
        </w:rPr>
        <w:t xml:space="preserve"> </w:t>
      </w:r>
      <w:proofErr w:type="spellStart"/>
      <w:r w:rsidRPr="00360642">
        <w:rPr>
          <w:rFonts w:ascii="Times New Roman" w:eastAsia="Times New Roman" w:hAnsi="Times New Roman" w:cs="Times New Roman"/>
          <w:sz w:val="24"/>
          <w:szCs w:val="24"/>
          <w:lang w:bidi="en-US"/>
        </w:rPr>
        <w:t>paradata</w:t>
      </w:r>
      <w:proofErr w:type="spellEnd"/>
      <w:r w:rsidRPr="003D73F7">
        <w:rPr>
          <w:rFonts w:ascii="Times New Roman" w:eastAsia="Times New Roman" w:hAnsi="Times New Roman" w:cs="Times New Roman"/>
          <w:sz w:val="24"/>
          <w:szCs w:val="24"/>
          <w:lang w:bidi="en-US"/>
        </w:rPr>
        <w:t xml:space="preserve"> and neighborhood observations, provide</w:t>
      </w:r>
      <w:r w:rsidRPr="00360642">
        <w:rPr>
          <w:rFonts w:ascii="Times New Roman" w:eastAsia="Times New Roman" w:hAnsi="Times New Roman" w:cs="Times New Roman"/>
          <w:sz w:val="24"/>
          <w:szCs w:val="24"/>
          <w:lang w:bidi="en-US"/>
        </w:rPr>
        <w:t>s</w:t>
      </w:r>
      <w:r w:rsidRPr="003D73F7">
        <w:rPr>
          <w:rFonts w:ascii="Times New Roman" w:eastAsia="Times New Roman" w:hAnsi="Times New Roman" w:cs="Times New Roman"/>
          <w:sz w:val="24"/>
          <w:szCs w:val="24"/>
          <w:lang w:bidi="en-US"/>
        </w:rPr>
        <w:t xml:space="preserve"> a rich, multilevel source of information </w:t>
      </w:r>
      <w:r>
        <w:rPr>
          <w:rFonts w:ascii="Times New Roman" w:eastAsia="Times New Roman" w:hAnsi="Times New Roman" w:cs="Times New Roman"/>
          <w:sz w:val="24"/>
          <w:szCs w:val="24"/>
          <w:lang w:bidi="en-US"/>
        </w:rPr>
        <w:t xml:space="preserve">that can be used </w:t>
      </w:r>
      <w:r w:rsidRPr="003D73F7">
        <w:rPr>
          <w:rFonts w:ascii="Times New Roman" w:eastAsia="Times New Roman" w:hAnsi="Times New Roman" w:cs="Times New Roman"/>
          <w:sz w:val="24"/>
          <w:szCs w:val="24"/>
          <w:lang w:bidi="en-US"/>
        </w:rPr>
        <w:t xml:space="preserve">to thoroughly understand </w:t>
      </w:r>
      <w:r w:rsidRPr="003D73F7">
        <w:rPr>
          <w:rFonts w:ascii="Times New Roman" w:eastAsia="Times New Roman" w:hAnsi="Times New Roman" w:cs="Times New Roman"/>
          <w:sz w:val="24"/>
          <w:szCs w:val="24"/>
          <w:lang w:bidi="en-US"/>
        </w:rPr>
        <w:lastRenderedPageBreak/>
        <w:t>nonresponse predictors and correlates of bias.</w:t>
      </w:r>
      <w:r>
        <w:rPr>
          <w:rFonts w:ascii="Times New Roman" w:eastAsia="Times New Roman" w:hAnsi="Times New Roman" w:cs="Times New Roman"/>
          <w:sz w:val="24"/>
          <w:szCs w:val="24"/>
          <w:lang w:bidi="en-US"/>
        </w:rPr>
        <w:t xml:space="preserve"> </w:t>
      </w:r>
      <w:r w:rsidRPr="003D73F7">
        <w:rPr>
          <w:rFonts w:ascii="Times New Roman" w:eastAsia="Times New Roman" w:hAnsi="Times New Roman" w:cs="Times New Roman"/>
          <w:sz w:val="24"/>
          <w:szCs w:val="24"/>
          <w:lang w:bidi="en-US"/>
        </w:rPr>
        <w:t>While proximal measures of resistance derived from</w:t>
      </w:r>
      <w:r>
        <w:rPr>
          <w:rFonts w:ascii="Times New Roman" w:eastAsia="Times New Roman" w:hAnsi="Times New Roman" w:cs="Times New Roman"/>
          <w:sz w:val="24"/>
          <w:szCs w:val="24"/>
          <w:lang w:bidi="en-US"/>
        </w:rPr>
        <w:t xml:space="preserve"> </w:t>
      </w:r>
      <w:proofErr w:type="spellStart"/>
      <w:r w:rsidRPr="003D73F7">
        <w:rPr>
          <w:rFonts w:ascii="Times New Roman" w:eastAsia="Times New Roman" w:hAnsi="Times New Roman" w:cs="Times New Roman"/>
          <w:sz w:val="24"/>
          <w:szCs w:val="24"/>
          <w:lang w:bidi="en-US"/>
        </w:rPr>
        <w:t>paradata</w:t>
      </w:r>
      <w:proofErr w:type="spellEnd"/>
      <w:r w:rsidRPr="003D73F7">
        <w:rPr>
          <w:rFonts w:ascii="Times New Roman" w:eastAsia="Times New Roman" w:hAnsi="Times New Roman" w:cs="Times New Roman"/>
          <w:sz w:val="24"/>
          <w:szCs w:val="24"/>
          <w:lang w:bidi="en-US"/>
        </w:rPr>
        <w:t xml:space="preserve"> tend to be the strongest predictors of unit nonresponse</w:t>
      </w:r>
      <w:r>
        <w:rPr>
          <w:rStyle w:val="FootnoteReference"/>
          <w:rFonts w:eastAsia="Times New Roman" w:cs="Times New Roman"/>
          <w:szCs w:val="24"/>
          <w:lang w:bidi="en-US"/>
        </w:rPr>
        <w:footnoteReference w:id="1"/>
      </w:r>
      <w:r w:rsidRPr="00A72983">
        <w:rPr>
          <w:rFonts w:ascii="Times New Roman" w:eastAsia="Times New Roman" w:hAnsi="Times New Roman" w:cs="Times New Roman"/>
          <w:sz w:val="24"/>
          <w:szCs w:val="24"/>
          <w:vertAlign w:val="superscript"/>
          <w:lang w:bidi="en-US"/>
        </w:rPr>
        <w:t>,</w:t>
      </w:r>
      <w:r>
        <w:rPr>
          <w:rStyle w:val="FootnoteReference"/>
          <w:rFonts w:eastAsia="Times New Roman" w:cs="Times New Roman"/>
          <w:szCs w:val="24"/>
          <w:lang w:bidi="en-US"/>
        </w:rPr>
        <w:footnoteReference w:id="2"/>
      </w:r>
      <w:r w:rsidRPr="003D73F7">
        <w:rPr>
          <w:rFonts w:ascii="Times New Roman" w:eastAsia="Times New Roman" w:hAnsi="Times New Roman" w:cs="Times New Roman"/>
          <w:sz w:val="24"/>
          <w:szCs w:val="24"/>
          <w:lang w:bidi="en-US"/>
        </w:rPr>
        <w:t>, there is also evidence that community and neighborhood-level factors can influence participation</w:t>
      </w:r>
      <w:r>
        <w:rPr>
          <w:rStyle w:val="FootnoteReference"/>
          <w:rFonts w:eastAsia="Times New Roman" w:cs="Times New Roman"/>
          <w:szCs w:val="24"/>
          <w:lang w:bidi="en-US"/>
        </w:rPr>
        <w:footnoteReference w:id="3"/>
      </w:r>
      <w:r w:rsidRPr="009823F2">
        <w:rPr>
          <w:rFonts w:ascii="Times New Roman" w:eastAsia="Times New Roman" w:hAnsi="Times New Roman" w:cs="Times New Roman"/>
          <w:sz w:val="20"/>
          <w:szCs w:val="20"/>
          <w:vertAlign w:val="superscript"/>
          <w:lang w:bidi="en-US"/>
        </w:rPr>
        <w:t>,</w:t>
      </w:r>
      <w:r w:rsidRPr="009823F2">
        <w:rPr>
          <w:rFonts w:eastAsia="Times New Roman" w:cstheme="minorHAnsi"/>
          <w:sz w:val="18"/>
          <w:szCs w:val="18"/>
          <w:vertAlign w:val="superscript"/>
          <w:lang w:bidi="en-US"/>
        </w:rPr>
        <w:t>4</w:t>
      </w:r>
      <w:r w:rsidRPr="003D73F7">
        <w:rPr>
          <w:rFonts w:ascii="Times New Roman" w:eastAsia="Times New Roman" w:hAnsi="Times New Roman" w:cs="Times New Roman"/>
          <w:sz w:val="24"/>
          <w:szCs w:val="24"/>
          <w:lang w:bidi="en-US"/>
        </w:rPr>
        <w:t>. Further</w:t>
      </w:r>
      <w:r>
        <w:rPr>
          <w:rFonts w:ascii="Times New Roman" w:eastAsia="Times New Roman" w:hAnsi="Times New Roman" w:cs="Times New Roman"/>
          <w:sz w:val="24"/>
          <w:szCs w:val="24"/>
          <w:lang w:bidi="en-US"/>
        </w:rPr>
        <w:t>more</w:t>
      </w:r>
      <w:r w:rsidRPr="003D73F7">
        <w:rPr>
          <w:rFonts w:ascii="Times New Roman" w:eastAsia="Times New Roman" w:hAnsi="Times New Roman" w:cs="Times New Roman"/>
          <w:sz w:val="24"/>
          <w:szCs w:val="24"/>
          <w:lang w:bidi="en-US"/>
        </w:rPr>
        <w:t>, repeated contacts to households during data collection create an additional level of nested information about the precursors of nonresponse</w:t>
      </w:r>
      <w:r>
        <w:rPr>
          <w:rStyle w:val="FootnoteReference"/>
          <w:rFonts w:eastAsia="Times New Roman" w:cs="Times New Roman"/>
          <w:szCs w:val="24"/>
          <w:lang w:bidi="en-US"/>
        </w:rPr>
        <w:footnoteReference w:id="4"/>
      </w:r>
      <w:r w:rsidRPr="004B3F71">
        <w:rPr>
          <w:rFonts w:ascii="Times New Roman" w:eastAsia="Times New Roman" w:hAnsi="Times New Roman" w:cs="Times New Roman"/>
          <w:sz w:val="24"/>
          <w:szCs w:val="24"/>
          <w:vertAlign w:val="superscript"/>
          <w:lang w:bidi="en-US"/>
        </w:rPr>
        <w:t>,</w:t>
      </w:r>
      <w:r>
        <w:rPr>
          <w:rStyle w:val="FootnoteReference"/>
          <w:rFonts w:eastAsia="Times New Roman" w:cs="Times New Roman"/>
          <w:szCs w:val="24"/>
          <w:lang w:bidi="en-US"/>
        </w:rPr>
        <w:footnoteReference w:id="5"/>
      </w:r>
      <w:r w:rsidRPr="004B3F71">
        <w:rPr>
          <w:rFonts w:ascii="Times New Roman" w:eastAsia="Times New Roman" w:hAnsi="Times New Roman" w:cs="Times New Roman"/>
          <w:sz w:val="24"/>
          <w:szCs w:val="24"/>
          <w:vertAlign w:val="superscript"/>
          <w:lang w:bidi="en-US"/>
        </w:rPr>
        <w:t>,</w:t>
      </w:r>
      <w:r>
        <w:rPr>
          <w:rStyle w:val="FootnoteReference"/>
          <w:rFonts w:eastAsia="Times New Roman" w:cs="Times New Roman"/>
          <w:szCs w:val="24"/>
          <w:lang w:bidi="en-US"/>
        </w:rPr>
        <w:footnoteReference w:id="6"/>
      </w:r>
      <w:r w:rsidRPr="004B3F71">
        <w:rPr>
          <w:rFonts w:ascii="Times New Roman" w:eastAsia="Times New Roman" w:hAnsi="Times New Roman" w:cs="Times New Roman"/>
          <w:sz w:val="24"/>
          <w:szCs w:val="24"/>
          <w:vertAlign w:val="superscript"/>
          <w:lang w:bidi="en-US"/>
        </w:rPr>
        <w:t>,</w:t>
      </w:r>
      <w:r>
        <w:rPr>
          <w:rStyle w:val="FootnoteReference"/>
          <w:rFonts w:eastAsia="Times New Roman" w:cs="Times New Roman"/>
          <w:szCs w:val="24"/>
          <w:lang w:bidi="en-US"/>
        </w:rPr>
        <w:footnoteReference w:id="7"/>
      </w:r>
      <w:r w:rsidRPr="003D73F7">
        <w:rPr>
          <w:rFonts w:ascii="Times New Roman" w:eastAsia="Times New Roman" w:hAnsi="Times New Roman" w:cs="Times New Roman"/>
          <w:sz w:val="24"/>
          <w:szCs w:val="24"/>
          <w:lang w:bidi="en-US"/>
        </w:rPr>
        <w:t>. These can be summarized to the sample unit (i.e., household level) or modeled explicitly, for example, with discrete time logistic regression models</w:t>
      </w:r>
      <w:r w:rsidRPr="003B4C66">
        <w:rPr>
          <w:rFonts w:asciiTheme="majorHAnsi" w:eastAsia="Times New Roman" w:hAnsiTheme="majorHAnsi" w:cstheme="majorHAnsi"/>
          <w:sz w:val="20"/>
          <w:szCs w:val="20"/>
          <w:vertAlign w:val="superscript"/>
          <w:lang w:bidi="en-US"/>
        </w:rPr>
        <w:t>6</w:t>
      </w:r>
      <w:r w:rsidRPr="003D73F7">
        <w:rPr>
          <w:rFonts w:ascii="Times New Roman" w:eastAsia="Times New Roman" w:hAnsi="Times New Roman" w:cs="Times New Roman"/>
          <w:sz w:val="24"/>
          <w:szCs w:val="24"/>
          <w:lang w:bidi="en-US"/>
        </w:rPr>
        <w:t>.</w:t>
      </w:r>
    </w:p>
    <w:p w14:paraId="176A83C1" w14:textId="77777777" w:rsidR="00244B44" w:rsidRPr="00536A34" w:rsidRDefault="00244B44" w:rsidP="00244B44">
      <w:pPr>
        <w:pStyle w:val="BODY"/>
      </w:pPr>
      <w:r w:rsidRPr="00536A34">
        <w:t>The goals</w:t>
      </w:r>
      <w:r w:rsidRPr="003E2137">
        <w:t xml:space="preserve"> of this </w:t>
      </w:r>
      <w:r w:rsidRPr="0009775C">
        <w:t>study</w:t>
      </w:r>
      <w:r w:rsidRPr="0069789C">
        <w:t xml:space="preserve"> were </w:t>
      </w:r>
      <w:r>
        <w:t>as follows</w:t>
      </w:r>
      <w:r w:rsidRPr="00536A34">
        <w:t xml:space="preserve">: </w:t>
      </w:r>
    </w:p>
    <w:p w14:paraId="6C4D4413" w14:textId="77777777" w:rsidR="00244B44" w:rsidRPr="0053129C" w:rsidRDefault="00244B44" w:rsidP="00244B44">
      <w:pPr>
        <w:pStyle w:val="NUMBEREDL1"/>
        <w:numPr>
          <w:ilvl w:val="0"/>
          <w:numId w:val="2"/>
        </w:numPr>
      </w:pPr>
      <w:r w:rsidRPr="00536A34">
        <w:t>Q</w:t>
      </w:r>
      <w:r w:rsidRPr="003E2137">
        <w:t xml:space="preserve">uantify </w:t>
      </w:r>
      <w:r>
        <w:t xml:space="preserve">the </w:t>
      </w:r>
      <w:r w:rsidRPr="00536A34">
        <w:t>nonresponse</w:t>
      </w:r>
      <w:r w:rsidRPr="0053129C">
        <w:t xml:space="preserve"> bias present in the redesigned NHIS.</w:t>
      </w:r>
    </w:p>
    <w:p w14:paraId="6B39793F" w14:textId="77777777" w:rsidR="00244B44" w:rsidRPr="0009775C" w:rsidRDefault="00244B44" w:rsidP="00244B44">
      <w:pPr>
        <w:pStyle w:val="NUMBEREDL1"/>
        <w:tabs>
          <w:tab w:val="clear" w:pos="360"/>
        </w:tabs>
        <w:ind w:left="360" w:hanging="360"/>
      </w:pPr>
      <w:r w:rsidRPr="0053129C">
        <w:t xml:space="preserve">Evaluate current NHIS weighting compared with other weighting methods that take advantage of auxiliary data, </w:t>
      </w:r>
      <w:proofErr w:type="spellStart"/>
      <w:r w:rsidRPr="0053129C">
        <w:t>paradata</w:t>
      </w:r>
      <w:proofErr w:type="spellEnd"/>
      <w:r w:rsidRPr="0053129C">
        <w:t>, and machine learning statistical methods, with a primary focus on bias reduction key heal</w:t>
      </w:r>
      <w:r w:rsidRPr="0069789C">
        <w:t>th indicators (KHIs)</w:t>
      </w:r>
      <w:r>
        <w:t>.</w:t>
      </w:r>
      <w:r w:rsidRPr="003E2137">
        <w:t xml:space="preserve"> </w:t>
      </w:r>
    </w:p>
    <w:p w14:paraId="725A1E60" w14:textId="06D37D4D" w:rsidR="00C53FFF" w:rsidRDefault="00244B44" w:rsidP="00C53FFF">
      <w:pPr>
        <w:pStyle w:val="NUMBEREDL1"/>
        <w:tabs>
          <w:tab w:val="clear" w:pos="360"/>
        </w:tabs>
        <w:ind w:left="360" w:hanging="360"/>
      </w:pPr>
      <w:r w:rsidRPr="0069789C">
        <w:t xml:space="preserve">Provide NCHS with evidence and reasoning </w:t>
      </w:r>
      <w:r>
        <w:t>regarding</w:t>
      </w:r>
      <w:r w:rsidRPr="00536A34">
        <w:t xml:space="preserve"> whether to implement a new weighting </w:t>
      </w:r>
      <w:r w:rsidRPr="003E2137">
        <w:t>approach for NHIS</w:t>
      </w:r>
      <w:r w:rsidRPr="0009775C">
        <w:t xml:space="preserve"> using these </w:t>
      </w:r>
      <w:r w:rsidRPr="0069789C">
        <w:t>alternative approaches.</w:t>
      </w:r>
    </w:p>
    <w:p w14:paraId="1AF897FE" w14:textId="4DEBB5E7" w:rsidR="00C53FFF" w:rsidRDefault="00C53FFF" w:rsidP="00C53FFF">
      <w:pPr>
        <w:pStyle w:val="NUMBEREDL1"/>
        <w:numPr>
          <w:ilvl w:val="0"/>
          <w:numId w:val="0"/>
        </w:numPr>
      </w:pPr>
    </w:p>
    <w:p w14:paraId="23F9260D" w14:textId="01A9C876" w:rsidR="00C53FFF" w:rsidRDefault="00C53FFF" w:rsidP="00C53FFF">
      <w:pPr>
        <w:rPr>
          <w:rFonts w:ascii="Times New Roman" w:hAnsi="Times New Roman" w:cs="Times New Roman"/>
          <w:sz w:val="24"/>
          <w:szCs w:val="24"/>
        </w:rPr>
      </w:pPr>
      <w:r w:rsidRPr="00E12975">
        <w:rPr>
          <w:rFonts w:ascii="Times New Roman" w:hAnsi="Times New Roman" w:cs="Times New Roman"/>
          <w:sz w:val="24"/>
          <w:szCs w:val="24"/>
        </w:rPr>
        <w:t>The</w:t>
      </w:r>
      <w:r>
        <w:rPr>
          <w:rFonts w:ascii="Times New Roman" w:hAnsi="Times New Roman" w:cs="Times New Roman"/>
          <w:sz w:val="24"/>
          <w:szCs w:val="24"/>
        </w:rPr>
        <w:t xml:space="preserve"> study had thre</w:t>
      </w:r>
      <w:r>
        <w:rPr>
          <w:rFonts w:ascii="Times New Roman" w:hAnsi="Times New Roman" w:cs="Times New Roman"/>
          <w:sz w:val="24"/>
          <w:szCs w:val="24"/>
        </w:rPr>
        <w:t>e</w:t>
      </w:r>
      <w:r>
        <w:rPr>
          <w:rFonts w:ascii="Times New Roman" w:hAnsi="Times New Roman" w:cs="Times New Roman"/>
          <w:sz w:val="24"/>
          <w:szCs w:val="24"/>
        </w:rPr>
        <w:t xml:space="preserve"> </w:t>
      </w:r>
      <w:r w:rsidRPr="00E12975">
        <w:rPr>
          <w:rFonts w:ascii="Times New Roman" w:hAnsi="Times New Roman" w:cs="Times New Roman"/>
          <w:sz w:val="24"/>
          <w:szCs w:val="24"/>
        </w:rPr>
        <w:t>assessment</w:t>
      </w:r>
      <w:r>
        <w:rPr>
          <w:rFonts w:ascii="Times New Roman" w:hAnsi="Times New Roman" w:cs="Times New Roman"/>
          <w:sz w:val="24"/>
          <w:szCs w:val="24"/>
        </w:rPr>
        <w:t>s stages:</w:t>
      </w:r>
      <w:r>
        <w:rPr>
          <w:rFonts w:ascii="Times New Roman" w:hAnsi="Times New Roman" w:cs="Times New Roman"/>
          <w:sz w:val="24"/>
          <w:szCs w:val="24"/>
        </w:rPr>
        <w:br/>
        <w:t>Stage 1: Assess w</w:t>
      </w:r>
      <w:r w:rsidRPr="00C53FFF">
        <w:rPr>
          <w:rFonts w:ascii="Times New Roman" w:hAnsi="Times New Roman" w:cs="Times New Roman"/>
          <w:sz w:val="24"/>
          <w:szCs w:val="24"/>
        </w:rPr>
        <w:t xml:space="preserve">hich of the candidate regression models and machine learning methods should be used for nonresponse prediction. At this stage, the study focused on metrics that describe how well the models predict response (e.g., area under the curve [AUC] score and mean squared error [MSE]). This led to narrowing the focus to a multilevel model and a random forest method to carry forward into nonresponse weighting. </w:t>
      </w:r>
    </w:p>
    <w:p w14:paraId="33431DB3" w14:textId="2512BE07" w:rsidR="00C53FFF" w:rsidRPr="00C53FFF" w:rsidRDefault="00C53FFF" w:rsidP="00C53FFF">
      <w:pPr>
        <w:rPr>
          <w:rFonts w:ascii="Times New Roman" w:hAnsi="Times New Roman" w:cs="Times New Roman"/>
          <w:sz w:val="24"/>
          <w:szCs w:val="24"/>
        </w:rPr>
      </w:pPr>
      <w:r>
        <w:rPr>
          <w:rFonts w:ascii="Times New Roman" w:hAnsi="Times New Roman" w:cs="Times New Roman"/>
          <w:sz w:val="24"/>
          <w:szCs w:val="24"/>
        </w:rPr>
        <w:t xml:space="preserve">Stage 2: Assess the </w:t>
      </w:r>
      <w:r w:rsidRPr="00C53FFF">
        <w:rPr>
          <w:rFonts w:ascii="Times New Roman" w:hAnsi="Times New Roman" w:cs="Times New Roman"/>
          <w:sz w:val="24"/>
          <w:szCs w:val="24"/>
        </w:rPr>
        <w:t xml:space="preserve">characteristics of the nonresponse adjustment weights and final calibrated weights. The NCHS-ICF team reviewed nonresponse and final (i.e., post-calibration) weight distributions, and design effects (DEFF) due to weighting. </w:t>
      </w:r>
    </w:p>
    <w:p w14:paraId="2E2D2C65" w14:textId="1D60B4D3" w:rsidR="00C53FFF" w:rsidRDefault="00190173" w:rsidP="00190173">
      <w:pPr>
        <w:rPr>
          <w:rFonts w:ascii="Times New Roman" w:hAnsi="Times New Roman" w:cs="Times New Roman"/>
          <w:sz w:val="24"/>
          <w:szCs w:val="24"/>
        </w:rPr>
      </w:pPr>
      <w:r>
        <w:rPr>
          <w:rFonts w:ascii="Times New Roman" w:hAnsi="Times New Roman" w:cs="Times New Roman"/>
          <w:sz w:val="24"/>
          <w:szCs w:val="24"/>
        </w:rPr>
        <w:t>Stage 3: A</w:t>
      </w:r>
      <w:r w:rsidR="00C53FFF" w:rsidRPr="00190173">
        <w:rPr>
          <w:rFonts w:ascii="Times New Roman" w:hAnsi="Times New Roman" w:cs="Times New Roman"/>
          <w:sz w:val="24"/>
          <w:szCs w:val="24"/>
        </w:rPr>
        <w:t xml:space="preserve">ssess the impact of multilevel and random forest on both the point estimates and the standard errors at the nonresponse adjustment stage for key health indicators (KHI). Final </w:t>
      </w:r>
      <w:r w:rsidR="00C53FFF" w:rsidRPr="00190173">
        <w:rPr>
          <w:rFonts w:ascii="Times New Roman" w:hAnsi="Times New Roman" w:cs="Times New Roman"/>
          <w:sz w:val="24"/>
          <w:szCs w:val="24"/>
        </w:rPr>
        <w:lastRenderedPageBreak/>
        <w:t xml:space="preserve">weighted KHIs were also compared for weights using multilevel modeling at the nonresponse adjustment stage, and three types of calibration, which compared the current NHIS post-stratification to two iterative raking approaches. </w:t>
      </w:r>
    </w:p>
    <w:p w14:paraId="2205B7EE" w14:textId="3B66CF08" w:rsidR="00190173" w:rsidRDefault="00190173" w:rsidP="00190173">
      <w:pPr>
        <w:rPr>
          <w:rFonts w:ascii="Times New Roman" w:hAnsi="Times New Roman" w:cs="Times New Roman"/>
          <w:i/>
          <w:iCs/>
          <w:sz w:val="24"/>
          <w:szCs w:val="24"/>
        </w:rPr>
      </w:pPr>
      <w:r w:rsidRPr="00190173">
        <w:rPr>
          <w:rFonts w:ascii="Times New Roman" w:hAnsi="Times New Roman" w:cs="Times New Roman"/>
          <w:i/>
          <w:iCs/>
          <w:sz w:val="24"/>
          <w:szCs w:val="24"/>
        </w:rPr>
        <w:t>Results</w:t>
      </w:r>
    </w:p>
    <w:p w14:paraId="3AB3EC1D" w14:textId="3AE5C3A8" w:rsidR="008E6984" w:rsidRPr="008E6984" w:rsidRDefault="008E6984" w:rsidP="00190173">
      <w:pPr>
        <w:rPr>
          <w:rFonts w:ascii="Times New Roman" w:hAnsi="Times New Roman" w:cs="Times New Roman"/>
          <w:sz w:val="24"/>
          <w:szCs w:val="24"/>
        </w:rPr>
      </w:pPr>
      <w:r>
        <w:rPr>
          <w:rFonts w:ascii="Times New Roman" w:hAnsi="Times New Roman" w:cs="Times New Roman"/>
          <w:sz w:val="24"/>
          <w:szCs w:val="24"/>
        </w:rPr>
        <w:t>Table 1 shows the various data sources used in the models.</w:t>
      </w:r>
    </w:p>
    <w:p w14:paraId="6669DF7A" w14:textId="13FF121E" w:rsidR="008E6984" w:rsidRPr="006C64CA" w:rsidRDefault="008E6984" w:rsidP="008E6984">
      <w:pPr>
        <w:pStyle w:val="EXHIBITTitle"/>
        <w:rPr>
          <w:color w:val="auto"/>
          <w:highlight w:val="yellow"/>
          <w:lang w:bidi="en-US"/>
        </w:rPr>
      </w:pPr>
      <w:r w:rsidRPr="006C64CA">
        <w:rPr>
          <w:color w:val="auto"/>
          <w:lang w:bidi="en-US"/>
        </w:rPr>
        <w:t xml:space="preserve">Table </w:t>
      </w:r>
      <w:r w:rsidRPr="006C64CA">
        <w:rPr>
          <w:color w:val="auto"/>
          <w:lang w:bidi="en-US"/>
        </w:rPr>
        <w:t>1</w:t>
      </w:r>
      <w:r w:rsidRPr="006C64CA">
        <w:rPr>
          <w:color w:val="auto"/>
          <w:lang w:bidi="en-US"/>
        </w:rPr>
        <w:t xml:space="preserve">. NHIS Data, </w:t>
      </w:r>
      <w:proofErr w:type="spellStart"/>
      <w:r w:rsidRPr="006C64CA">
        <w:rPr>
          <w:color w:val="auto"/>
          <w:lang w:bidi="en-US"/>
        </w:rPr>
        <w:t>Paradata</w:t>
      </w:r>
      <w:proofErr w:type="spellEnd"/>
      <w:r w:rsidRPr="006C64CA">
        <w:rPr>
          <w:color w:val="auto"/>
          <w:lang w:bidi="en-US"/>
        </w:rPr>
        <w:t xml:space="preserve">, and Auxiliary Data Sources </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left w:w="58" w:type="dxa"/>
          <w:right w:w="58" w:type="dxa"/>
        </w:tblCellMar>
        <w:tblLook w:val="01E0" w:firstRow="1" w:lastRow="1" w:firstColumn="1" w:lastColumn="1" w:noHBand="0" w:noVBand="0"/>
      </w:tblPr>
      <w:tblGrid>
        <w:gridCol w:w="2450"/>
        <w:gridCol w:w="2541"/>
        <w:gridCol w:w="4359"/>
      </w:tblGrid>
      <w:tr w:rsidR="008E6984" w:rsidRPr="00B32878" w14:paraId="1F989027" w14:textId="77777777" w:rsidTr="00CB6073">
        <w:trPr>
          <w:trHeight w:val="270"/>
          <w:tblHeader/>
        </w:trPr>
        <w:tc>
          <w:tcPr>
            <w:tcW w:w="1310" w:type="pct"/>
            <w:shd w:val="clear" w:color="auto" w:fill="ED7D31" w:themeFill="accent2"/>
          </w:tcPr>
          <w:p w14:paraId="06AF49A7" w14:textId="77777777" w:rsidR="008E6984" w:rsidRPr="004859A8" w:rsidRDefault="008E6984" w:rsidP="00CB6073">
            <w:pPr>
              <w:pStyle w:val="TABLEColumnH1"/>
              <w:rPr>
                <w:sz w:val="22"/>
                <w:szCs w:val="22"/>
                <w:lang w:bidi="en-US"/>
              </w:rPr>
            </w:pPr>
            <w:r w:rsidRPr="004859A8">
              <w:rPr>
                <w:sz w:val="22"/>
                <w:szCs w:val="22"/>
                <w:lang w:bidi="en-US"/>
              </w:rPr>
              <w:t>Data Source</w:t>
            </w:r>
          </w:p>
        </w:tc>
        <w:tc>
          <w:tcPr>
            <w:tcW w:w="1359" w:type="pct"/>
            <w:shd w:val="clear" w:color="auto" w:fill="ED7D31" w:themeFill="accent2"/>
          </w:tcPr>
          <w:p w14:paraId="0DA94897" w14:textId="77777777" w:rsidR="008E6984" w:rsidRPr="004859A8" w:rsidRDefault="008E6984" w:rsidP="00CB6073">
            <w:pPr>
              <w:pStyle w:val="TABLEColumnH1"/>
              <w:rPr>
                <w:sz w:val="22"/>
                <w:szCs w:val="22"/>
                <w:lang w:bidi="en-US"/>
              </w:rPr>
            </w:pPr>
            <w:r w:rsidRPr="004859A8">
              <w:rPr>
                <w:sz w:val="22"/>
                <w:szCs w:val="22"/>
                <w:lang w:bidi="en-US"/>
              </w:rPr>
              <w:t>Level</w:t>
            </w:r>
          </w:p>
        </w:tc>
        <w:tc>
          <w:tcPr>
            <w:tcW w:w="2331" w:type="pct"/>
            <w:shd w:val="clear" w:color="auto" w:fill="ED7D31" w:themeFill="accent2"/>
          </w:tcPr>
          <w:p w14:paraId="32526FD2" w14:textId="77777777" w:rsidR="008E6984" w:rsidRPr="004859A8" w:rsidRDefault="008E6984" w:rsidP="00CB6073">
            <w:pPr>
              <w:pStyle w:val="TABLEColumnH1"/>
              <w:rPr>
                <w:sz w:val="22"/>
                <w:szCs w:val="22"/>
                <w:lang w:bidi="en-US"/>
              </w:rPr>
            </w:pPr>
            <w:r w:rsidRPr="004859A8">
              <w:rPr>
                <w:sz w:val="22"/>
                <w:szCs w:val="22"/>
                <w:lang w:bidi="en-US"/>
              </w:rPr>
              <w:t xml:space="preserve">Potential Use in </w:t>
            </w:r>
            <w:r w:rsidRPr="004859A8">
              <w:rPr>
                <w:sz w:val="22"/>
                <w:szCs w:val="22"/>
                <w:lang w:bidi="en-US"/>
              </w:rPr>
              <w:br/>
              <w:t>Predicting Response</w:t>
            </w:r>
          </w:p>
        </w:tc>
      </w:tr>
      <w:tr w:rsidR="008E6984" w:rsidRPr="00B32878" w14:paraId="6317D652" w14:textId="77777777" w:rsidTr="00CB6073">
        <w:trPr>
          <w:trHeight w:val="590"/>
        </w:trPr>
        <w:tc>
          <w:tcPr>
            <w:tcW w:w="1310" w:type="pct"/>
          </w:tcPr>
          <w:p w14:paraId="3ADED8DF" w14:textId="77777777" w:rsidR="008E6984" w:rsidRPr="004859A8" w:rsidRDefault="008E6984" w:rsidP="00CB6073">
            <w:pPr>
              <w:pStyle w:val="TABLEText"/>
              <w:rPr>
                <w:b/>
                <w:sz w:val="22"/>
                <w:szCs w:val="22"/>
                <w:lang w:bidi="en-US"/>
              </w:rPr>
            </w:pPr>
            <w:r w:rsidRPr="004859A8">
              <w:rPr>
                <w:b/>
                <w:sz w:val="22"/>
                <w:szCs w:val="22"/>
                <w:lang w:bidi="en-US"/>
              </w:rPr>
              <w:t>Census Planning Database</w:t>
            </w:r>
          </w:p>
        </w:tc>
        <w:tc>
          <w:tcPr>
            <w:tcW w:w="1359" w:type="pct"/>
          </w:tcPr>
          <w:p w14:paraId="1232BF67" w14:textId="77777777" w:rsidR="008E6984" w:rsidRPr="004859A8" w:rsidRDefault="008E6984" w:rsidP="00CB6073">
            <w:pPr>
              <w:pStyle w:val="TABLEText"/>
              <w:rPr>
                <w:sz w:val="22"/>
                <w:szCs w:val="22"/>
                <w:lang w:bidi="en-US"/>
              </w:rPr>
            </w:pPr>
            <w:r w:rsidRPr="004859A8">
              <w:rPr>
                <w:sz w:val="22"/>
                <w:szCs w:val="22"/>
              </w:rPr>
              <w:t>Community</w:t>
            </w:r>
            <w:r w:rsidRPr="004859A8">
              <w:rPr>
                <w:sz w:val="22"/>
                <w:szCs w:val="22"/>
                <w:lang w:bidi="en-US"/>
              </w:rPr>
              <w:t>/</w:t>
            </w:r>
            <w:r w:rsidRPr="004859A8">
              <w:rPr>
                <w:sz w:val="22"/>
                <w:szCs w:val="22"/>
                <w:lang w:bidi="en-US"/>
              </w:rPr>
              <w:br/>
              <w:t>Neighborhood</w:t>
            </w:r>
          </w:p>
        </w:tc>
        <w:tc>
          <w:tcPr>
            <w:tcW w:w="2331" w:type="pct"/>
          </w:tcPr>
          <w:p w14:paraId="3FE58478" w14:textId="77777777" w:rsidR="008E6984" w:rsidRPr="004859A8" w:rsidRDefault="008E6984" w:rsidP="00CB6073">
            <w:pPr>
              <w:pStyle w:val="TABLEBulletL1"/>
              <w:rPr>
                <w:sz w:val="22"/>
                <w:szCs w:val="22"/>
              </w:rPr>
            </w:pPr>
            <w:r w:rsidRPr="004859A8">
              <w:rPr>
                <w:sz w:val="22"/>
                <w:szCs w:val="22"/>
              </w:rPr>
              <w:t>Community-level resistance predictors (i.e., low response score)</w:t>
            </w:r>
          </w:p>
        </w:tc>
      </w:tr>
      <w:tr w:rsidR="008E6984" w:rsidRPr="00B32878" w14:paraId="5A3C1EC9" w14:textId="77777777" w:rsidTr="00CB6073">
        <w:trPr>
          <w:trHeight w:val="839"/>
        </w:trPr>
        <w:tc>
          <w:tcPr>
            <w:tcW w:w="1310" w:type="pct"/>
          </w:tcPr>
          <w:p w14:paraId="2485E2C1" w14:textId="77777777" w:rsidR="008E6984" w:rsidRPr="004859A8" w:rsidRDefault="008E6984" w:rsidP="00CB6073">
            <w:pPr>
              <w:pStyle w:val="TABLEText"/>
              <w:rPr>
                <w:b/>
                <w:sz w:val="22"/>
                <w:szCs w:val="22"/>
                <w:lang w:bidi="en-US"/>
              </w:rPr>
            </w:pPr>
            <w:r w:rsidRPr="004859A8">
              <w:rPr>
                <w:b/>
                <w:sz w:val="22"/>
                <w:szCs w:val="22"/>
                <w:lang w:bidi="en-US"/>
              </w:rPr>
              <w:t>Neighborhood Observation Instrument (NOI)</w:t>
            </w:r>
          </w:p>
        </w:tc>
        <w:tc>
          <w:tcPr>
            <w:tcW w:w="1359" w:type="pct"/>
          </w:tcPr>
          <w:p w14:paraId="3F58CD38" w14:textId="77777777" w:rsidR="008E6984" w:rsidRPr="004859A8" w:rsidRDefault="008E6984" w:rsidP="00CB6073">
            <w:pPr>
              <w:pStyle w:val="TABLEText"/>
              <w:rPr>
                <w:sz w:val="22"/>
                <w:szCs w:val="22"/>
                <w:lang w:bidi="en-US"/>
              </w:rPr>
            </w:pPr>
            <w:r w:rsidRPr="004859A8">
              <w:rPr>
                <w:sz w:val="22"/>
                <w:szCs w:val="22"/>
                <w:lang w:bidi="en-US"/>
              </w:rPr>
              <w:t>Neighborhood</w:t>
            </w:r>
          </w:p>
        </w:tc>
        <w:tc>
          <w:tcPr>
            <w:tcW w:w="2331" w:type="pct"/>
          </w:tcPr>
          <w:p w14:paraId="4CC5C5A5" w14:textId="77777777" w:rsidR="008E6984" w:rsidRPr="004859A8" w:rsidRDefault="008E6984" w:rsidP="00CB6073">
            <w:pPr>
              <w:pStyle w:val="TABLEBulletL1"/>
              <w:rPr>
                <w:sz w:val="22"/>
                <w:szCs w:val="22"/>
              </w:rPr>
            </w:pPr>
            <w:r w:rsidRPr="004859A8">
              <w:rPr>
                <w:sz w:val="22"/>
                <w:szCs w:val="22"/>
              </w:rPr>
              <w:t xml:space="preserve">Neighborhood predictors of nonresponse and poor health outcomes </w:t>
            </w:r>
          </w:p>
        </w:tc>
      </w:tr>
      <w:tr w:rsidR="008E6984" w:rsidRPr="00B32878" w14:paraId="3A07F9A5" w14:textId="77777777" w:rsidTr="00CB6073">
        <w:trPr>
          <w:trHeight w:val="1132"/>
        </w:trPr>
        <w:tc>
          <w:tcPr>
            <w:tcW w:w="1310" w:type="pct"/>
          </w:tcPr>
          <w:p w14:paraId="4F75E8AC" w14:textId="77777777" w:rsidR="008E6984" w:rsidRPr="004859A8" w:rsidRDefault="008E6984" w:rsidP="00CB6073">
            <w:pPr>
              <w:pStyle w:val="TABLEText"/>
              <w:rPr>
                <w:b/>
                <w:sz w:val="22"/>
                <w:szCs w:val="22"/>
                <w:lang w:bidi="en-US"/>
              </w:rPr>
            </w:pPr>
            <w:r w:rsidRPr="004859A8">
              <w:rPr>
                <w:b/>
                <w:sz w:val="22"/>
                <w:szCs w:val="22"/>
                <w:lang w:bidi="en-US"/>
              </w:rPr>
              <w:t>Unit Control File</w:t>
            </w:r>
          </w:p>
        </w:tc>
        <w:tc>
          <w:tcPr>
            <w:tcW w:w="1359" w:type="pct"/>
          </w:tcPr>
          <w:p w14:paraId="796BFEA6" w14:textId="77777777" w:rsidR="008E6984" w:rsidRPr="004859A8" w:rsidRDefault="008E6984" w:rsidP="00CB6073">
            <w:pPr>
              <w:pStyle w:val="TABLEText"/>
              <w:rPr>
                <w:sz w:val="22"/>
                <w:szCs w:val="22"/>
                <w:lang w:bidi="en-US"/>
              </w:rPr>
            </w:pPr>
            <w:r w:rsidRPr="004859A8">
              <w:rPr>
                <w:sz w:val="22"/>
                <w:szCs w:val="22"/>
                <w:lang w:bidi="en-US"/>
              </w:rPr>
              <w:t>Sample unit (address)</w:t>
            </w:r>
          </w:p>
        </w:tc>
        <w:tc>
          <w:tcPr>
            <w:tcW w:w="2331" w:type="pct"/>
          </w:tcPr>
          <w:p w14:paraId="3F152349" w14:textId="77777777" w:rsidR="008E6984" w:rsidRPr="004859A8" w:rsidRDefault="008E6984" w:rsidP="00CB6073">
            <w:pPr>
              <w:pStyle w:val="TABLEBulletL1"/>
              <w:rPr>
                <w:sz w:val="22"/>
                <w:szCs w:val="22"/>
              </w:rPr>
            </w:pPr>
            <w:r w:rsidRPr="004859A8">
              <w:rPr>
                <w:sz w:val="22"/>
                <w:szCs w:val="22"/>
              </w:rPr>
              <w:t>Geographic nonresponse predictors</w:t>
            </w:r>
          </w:p>
          <w:p w14:paraId="28F78076" w14:textId="77777777" w:rsidR="008E6984" w:rsidRPr="004859A8" w:rsidRDefault="008E6984" w:rsidP="00CB6073">
            <w:pPr>
              <w:pStyle w:val="TABLEBulletL1"/>
              <w:rPr>
                <w:sz w:val="22"/>
                <w:szCs w:val="22"/>
              </w:rPr>
            </w:pPr>
            <w:r w:rsidRPr="004859A8">
              <w:rPr>
                <w:sz w:val="22"/>
                <w:szCs w:val="22"/>
              </w:rPr>
              <w:t>Methodological controls (e.g., whether the housing unit is a screening or interview unit)</w:t>
            </w:r>
          </w:p>
        </w:tc>
      </w:tr>
      <w:tr w:rsidR="008E6984" w:rsidRPr="00B32878" w14:paraId="04EC6861" w14:textId="77777777" w:rsidTr="00CB6073">
        <w:trPr>
          <w:trHeight w:val="585"/>
        </w:trPr>
        <w:tc>
          <w:tcPr>
            <w:tcW w:w="1310" w:type="pct"/>
            <w:tcBorders>
              <w:bottom w:val="single" w:sz="4" w:space="0" w:color="D0CECE" w:themeColor="background2" w:themeShade="E6"/>
            </w:tcBorders>
          </w:tcPr>
          <w:p w14:paraId="5F01136B" w14:textId="77777777" w:rsidR="008E6984" w:rsidRPr="004859A8" w:rsidRDefault="008E6984" w:rsidP="00CB6073">
            <w:pPr>
              <w:pStyle w:val="TABLEText"/>
              <w:rPr>
                <w:b/>
                <w:sz w:val="22"/>
                <w:szCs w:val="22"/>
                <w:lang w:bidi="en-US"/>
              </w:rPr>
            </w:pPr>
            <w:r w:rsidRPr="004859A8">
              <w:rPr>
                <w:b/>
                <w:sz w:val="22"/>
                <w:szCs w:val="22"/>
                <w:lang w:bidi="en-US"/>
              </w:rPr>
              <w:t>Survey Data</w:t>
            </w:r>
          </w:p>
        </w:tc>
        <w:tc>
          <w:tcPr>
            <w:tcW w:w="1359" w:type="pct"/>
            <w:tcBorders>
              <w:bottom w:val="single" w:sz="4" w:space="0" w:color="D0CECE" w:themeColor="background2" w:themeShade="E6"/>
            </w:tcBorders>
          </w:tcPr>
          <w:p w14:paraId="4752DFF7" w14:textId="77777777" w:rsidR="008E6984" w:rsidRPr="004859A8" w:rsidRDefault="008E6984" w:rsidP="00CB6073">
            <w:pPr>
              <w:pStyle w:val="TABLEText"/>
              <w:rPr>
                <w:sz w:val="22"/>
                <w:szCs w:val="22"/>
                <w:lang w:bidi="en-US"/>
              </w:rPr>
            </w:pPr>
            <w:r w:rsidRPr="004859A8">
              <w:rPr>
                <w:sz w:val="22"/>
                <w:szCs w:val="22"/>
                <w:lang w:bidi="en-US"/>
              </w:rPr>
              <w:t>Sample unit (respondents only)</w:t>
            </w:r>
          </w:p>
        </w:tc>
        <w:tc>
          <w:tcPr>
            <w:tcW w:w="2331" w:type="pct"/>
            <w:tcBorders>
              <w:bottom w:val="single" w:sz="4" w:space="0" w:color="D0CECE" w:themeColor="background2" w:themeShade="E6"/>
            </w:tcBorders>
          </w:tcPr>
          <w:p w14:paraId="5166D661" w14:textId="77777777" w:rsidR="008E6984" w:rsidRPr="004859A8" w:rsidRDefault="008E6984" w:rsidP="00CB6073">
            <w:pPr>
              <w:pStyle w:val="TABLEBulletL1"/>
              <w:rPr>
                <w:sz w:val="22"/>
                <w:szCs w:val="22"/>
              </w:rPr>
            </w:pPr>
            <w:r w:rsidRPr="004859A8">
              <w:rPr>
                <w:sz w:val="22"/>
                <w:szCs w:val="22"/>
              </w:rPr>
              <w:t>Nonresponse bias metrics</w:t>
            </w:r>
          </w:p>
          <w:p w14:paraId="713B244C" w14:textId="77777777" w:rsidR="008E6984" w:rsidRPr="004859A8" w:rsidRDefault="008E6984" w:rsidP="00CB6073">
            <w:pPr>
              <w:pStyle w:val="TABLEText"/>
              <w:rPr>
                <w:sz w:val="22"/>
                <w:szCs w:val="22"/>
                <w:lang w:bidi="en-US"/>
              </w:rPr>
            </w:pPr>
          </w:p>
        </w:tc>
      </w:tr>
      <w:tr w:rsidR="008E6984" w:rsidRPr="00B32878" w14:paraId="17FD8128" w14:textId="77777777" w:rsidTr="00CB6073">
        <w:trPr>
          <w:trHeight w:val="1132"/>
        </w:trPr>
        <w:tc>
          <w:tcPr>
            <w:tcW w:w="1310" w:type="pct"/>
            <w:tcBorders>
              <w:bottom w:val="single" w:sz="4" w:space="0" w:color="auto"/>
            </w:tcBorders>
          </w:tcPr>
          <w:p w14:paraId="7C6D12F2" w14:textId="77777777" w:rsidR="008E6984" w:rsidRPr="004859A8" w:rsidRDefault="008E6984" w:rsidP="00CB6073">
            <w:pPr>
              <w:pStyle w:val="TABLEText"/>
              <w:rPr>
                <w:b/>
                <w:sz w:val="22"/>
                <w:szCs w:val="22"/>
                <w:lang w:bidi="en-US"/>
              </w:rPr>
            </w:pPr>
            <w:r w:rsidRPr="004859A8">
              <w:rPr>
                <w:b/>
                <w:sz w:val="22"/>
                <w:szCs w:val="22"/>
                <w:lang w:bidi="en-US"/>
              </w:rPr>
              <w:t>Contact History Instrument (CHI)</w:t>
            </w:r>
          </w:p>
        </w:tc>
        <w:tc>
          <w:tcPr>
            <w:tcW w:w="1359" w:type="pct"/>
            <w:tcBorders>
              <w:bottom w:val="single" w:sz="4" w:space="0" w:color="auto"/>
            </w:tcBorders>
          </w:tcPr>
          <w:p w14:paraId="7F7CD994" w14:textId="77777777" w:rsidR="008E6984" w:rsidRPr="004859A8" w:rsidRDefault="008E6984" w:rsidP="00CB6073">
            <w:pPr>
              <w:pStyle w:val="TABLEText"/>
              <w:rPr>
                <w:sz w:val="22"/>
                <w:szCs w:val="22"/>
                <w:lang w:bidi="en-US"/>
              </w:rPr>
            </w:pPr>
            <w:r w:rsidRPr="004859A8">
              <w:rPr>
                <w:sz w:val="22"/>
                <w:szCs w:val="22"/>
                <w:lang w:bidi="en-US"/>
              </w:rPr>
              <w:t>Contact attempt</w:t>
            </w:r>
          </w:p>
        </w:tc>
        <w:tc>
          <w:tcPr>
            <w:tcW w:w="2331" w:type="pct"/>
            <w:tcBorders>
              <w:bottom w:val="single" w:sz="4" w:space="0" w:color="auto"/>
            </w:tcBorders>
          </w:tcPr>
          <w:p w14:paraId="73B3F2C8" w14:textId="77777777" w:rsidR="008E6984" w:rsidRPr="004859A8" w:rsidRDefault="008E6984" w:rsidP="00CB6073">
            <w:pPr>
              <w:pStyle w:val="TABLEBulletL1"/>
              <w:rPr>
                <w:sz w:val="22"/>
                <w:szCs w:val="22"/>
              </w:rPr>
            </w:pPr>
            <w:r w:rsidRPr="004859A8">
              <w:rPr>
                <w:sz w:val="22"/>
                <w:szCs w:val="22"/>
              </w:rPr>
              <w:t>Interim and final dispositions (i.e., refusals, interview completion)</w:t>
            </w:r>
          </w:p>
          <w:p w14:paraId="5975D1C6" w14:textId="77777777" w:rsidR="008E6984" w:rsidRPr="004859A8" w:rsidRDefault="008E6984" w:rsidP="00CB6073">
            <w:pPr>
              <w:pStyle w:val="TABLEBulletL1"/>
              <w:rPr>
                <w:sz w:val="22"/>
                <w:szCs w:val="22"/>
              </w:rPr>
            </w:pPr>
            <w:r w:rsidRPr="004859A8">
              <w:rPr>
                <w:sz w:val="22"/>
                <w:szCs w:val="22"/>
              </w:rPr>
              <w:t>Methodological controls (e.g., whether contact was made by phone)</w:t>
            </w:r>
          </w:p>
        </w:tc>
      </w:tr>
    </w:tbl>
    <w:p w14:paraId="21FFD729" w14:textId="1D371B18" w:rsidR="00190173" w:rsidRDefault="008E6984" w:rsidP="004859A8">
      <w:pPr>
        <w:pStyle w:val="BODY"/>
      </w:pPr>
      <w:r w:rsidRPr="00366676">
        <w:t xml:space="preserve">Unit response predictor variable selection was conducted in two </w:t>
      </w:r>
      <w:r>
        <w:t>stages</w:t>
      </w:r>
      <w:r w:rsidRPr="00366676">
        <w:t xml:space="preserve">. First, </w:t>
      </w:r>
      <w:r w:rsidR="006C64CA">
        <w:t>bivariate analys</w:t>
      </w:r>
      <w:r w:rsidR="006C64CA">
        <w:t>e</w:t>
      </w:r>
      <w:r w:rsidR="006C64CA">
        <w:t xml:space="preserve">s </w:t>
      </w:r>
      <w:r w:rsidR="006C64CA">
        <w:t xml:space="preserve">helped </w:t>
      </w:r>
      <w:r w:rsidR="006C64CA">
        <w:t>identif</w:t>
      </w:r>
      <w:r w:rsidR="006C64CA">
        <w:t>y</w:t>
      </w:r>
      <w:r w:rsidR="006C64CA">
        <w:t xml:space="preserve"> </w:t>
      </w:r>
      <w:r>
        <w:t xml:space="preserve">an initial list of potential predictors nonresponse predictors variables that had a significant </w:t>
      </w:r>
      <w:r w:rsidRPr="00366676">
        <w:t xml:space="preserve">relationship </w:t>
      </w:r>
      <w:r>
        <w:t xml:space="preserve">with </w:t>
      </w:r>
      <w:r w:rsidRPr="00366676">
        <w:t>household response, adult response, and child response</w:t>
      </w:r>
      <w:r>
        <w:t xml:space="preserve"> (</w:t>
      </w:r>
      <w:r>
        <w:rPr>
          <w:i/>
        </w:rPr>
        <w:t>α =</w:t>
      </w:r>
      <w:r>
        <w:t xml:space="preserve"> 0.1). </w:t>
      </w:r>
      <w:r w:rsidRPr="00366676">
        <w:t xml:space="preserve">Second, potential predictors </w:t>
      </w:r>
      <w:r>
        <w:t xml:space="preserve">that demonstrated </w:t>
      </w:r>
      <w:r w:rsidRPr="00366676">
        <w:t xml:space="preserve">a </w:t>
      </w:r>
      <w:r>
        <w:t xml:space="preserve">statistically </w:t>
      </w:r>
      <w:r w:rsidRPr="00366676">
        <w:t>significant association with response were asse</w:t>
      </w:r>
      <w:r>
        <w:t>sse</w:t>
      </w:r>
      <w:r w:rsidRPr="00366676">
        <w:t xml:space="preserve">d for </w:t>
      </w:r>
      <w:r>
        <w:t xml:space="preserve">their </w:t>
      </w:r>
      <w:r w:rsidRPr="00366676">
        <w:t>association with each of the KHIs</w:t>
      </w:r>
      <w:r>
        <w:t xml:space="preserve">. This two-step approach was used </w:t>
      </w:r>
      <w:r w:rsidRPr="00366676">
        <w:t xml:space="preserve">because nonresponse bias </w:t>
      </w:r>
      <w:r>
        <w:t xml:space="preserve">occurs when a characteristic of sampled units (i.e., household or people) is associated with both response and a </w:t>
      </w:r>
      <w:r w:rsidRPr="00366676">
        <w:t>substantive variable of interest</w:t>
      </w:r>
      <w:r>
        <w:t xml:space="preserve">. Thus, statistically significant predictors of response that are also associated with KHIs should be </w:t>
      </w:r>
      <w:r w:rsidRPr="008E6984">
        <w:t>most effective at reducing nonresponse bias. The number of significant associations between each predictor and each KHI was then used to select final predictors for the nonresponse bias models</w:t>
      </w:r>
      <w:r>
        <w:t>.</w:t>
      </w:r>
    </w:p>
    <w:p w14:paraId="2735FA86" w14:textId="20C237BF" w:rsidR="004859A8" w:rsidRPr="004859A8" w:rsidRDefault="004859A8" w:rsidP="008E6984">
      <w:pPr>
        <w:rPr>
          <w:rFonts w:ascii="Times New Roman" w:hAnsi="Times New Roman" w:cs="Times New Roman"/>
          <w:sz w:val="24"/>
          <w:szCs w:val="24"/>
        </w:rPr>
      </w:pPr>
      <w:r w:rsidRPr="004859A8">
        <w:rPr>
          <w:rFonts w:ascii="Times New Roman" w:hAnsi="Times New Roman" w:cs="Times New Roman"/>
        </w:rPr>
        <w:t>The predicted response probabilities from the multilevel model and random forest method were divided into quintiles</w:t>
      </w:r>
      <w:r>
        <w:rPr>
          <w:rFonts w:ascii="Times New Roman" w:hAnsi="Times New Roman" w:cs="Times New Roman"/>
        </w:rPr>
        <w:t xml:space="preserve"> </w:t>
      </w:r>
      <w:r w:rsidRPr="004859A8">
        <w:rPr>
          <w:rFonts w:ascii="Times New Roman" w:hAnsi="Times New Roman" w:cs="Times New Roman"/>
        </w:rPr>
        <w:t xml:space="preserve">with group 1 representing the lowest propensity to respond and group 5 representing the highest propensity to respond. Due to a small sample size in the first quintile, and the related risk of creating very large weights, response quintiles 1 and 2 were combined into a single low response propensity group. Quintiles 3 through 5 were combined into a high response propensity group to facilitate </w:t>
      </w:r>
      <w:r w:rsidRPr="004859A8">
        <w:rPr>
          <w:rFonts w:ascii="Times New Roman" w:hAnsi="Times New Roman" w:cs="Times New Roman"/>
        </w:rPr>
        <w:lastRenderedPageBreak/>
        <w:t>nonresponse bias identification using the methods previously used in NHIS.</w:t>
      </w:r>
      <w:r w:rsidRPr="004859A8">
        <w:rPr>
          <w:rStyle w:val="FootnoteReference"/>
          <w:rFonts w:ascii="Times New Roman" w:hAnsi="Times New Roman" w:cs="Times New Roman"/>
        </w:rPr>
        <w:footnoteReference w:id="8"/>
      </w:r>
      <w:r w:rsidRPr="004859A8">
        <w:rPr>
          <w:rFonts w:ascii="Times New Roman" w:hAnsi="Times New Roman" w:cs="Times New Roman"/>
        </w:rPr>
        <w:t xml:space="preserve"> The method assumes that low response propensity respondents are similar to </w:t>
      </w:r>
      <w:proofErr w:type="spellStart"/>
      <w:r w:rsidRPr="004859A8">
        <w:rPr>
          <w:rFonts w:ascii="Times New Roman" w:hAnsi="Times New Roman" w:cs="Times New Roman"/>
        </w:rPr>
        <w:t>nonrespondents</w:t>
      </w:r>
      <w:proofErr w:type="spellEnd"/>
      <w:r w:rsidRPr="004859A8">
        <w:rPr>
          <w:rFonts w:ascii="Times New Roman" w:hAnsi="Times New Roman" w:cs="Times New Roman"/>
        </w:rPr>
        <w:t xml:space="preserve"> for the KHIs used in this study</w:t>
      </w:r>
      <w:r w:rsidRPr="004859A8">
        <w:rPr>
          <w:rFonts w:ascii="Times New Roman" w:hAnsi="Times New Roman" w:cs="Times New Roman"/>
          <w:color w:val="000000" w:themeColor="text1"/>
        </w:rPr>
        <w:t xml:space="preserve">, and that the factors that predict response propensity and bias among respondents extend to </w:t>
      </w:r>
      <w:proofErr w:type="spellStart"/>
      <w:r w:rsidRPr="004859A8">
        <w:rPr>
          <w:rFonts w:ascii="Times New Roman" w:hAnsi="Times New Roman" w:cs="Times New Roman"/>
          <w:color w:val="000000" w:themeColor="text1"/>
        </w:rPr>
        <w:t>nonrespondents</w:t>
      </w:r>
      <w:proofErr w:type="spellEnd"/>
      <w:r w:rsidRPr="004859A8">
        <w:rPr>
          <w:rFonts w:ascii="Times New Roman" w:hAnsi="Times New Roman" w:cs="Times New Roman"/>
          <w:color w:val="000000" w:themeColor="text1"/>
        </w:rPr>
        <w:t>.</w:t>
      </w:r>
    </w:p>
    <w:p w14:paraId="0298A656" w14:textId="77777777" w:rsidR="004859A8" w:rsidRDefault="004859A8" w:rsidP="004859A8">
      <w:pPr>
        <w:rPr>
          <w:rFonts w:ascii="Times New Roman" w:hAnsi="Times New Roman" w:cs="Times New Roman"/>
          <w:sz w:val="24"/>
          <w:szCs w:val="24"/>
        </w:rPr>
      </w:pPr>
      <w:r w:rsidRPr="00CD432F">
        <w:rPr>
          <w:rFonts w:ascii="Times New Roman" w:hAnsi="Times New Roman" w:cs="Times New Roman"/>
          <w:sz w:val="24"/>
          <w:szCs w:val="24"/>
        </w:rPr>
        <w:t xml:space="preserve">The multilevel model identified </w:t>
      </w:r>
      <w:r w:rsidRPr="04523585">
        <w:rPr>
          <w:rFonts w:ascii="Times New Roman" w:hAnsi="Times New Roman" w:cs="Times New Roman"/>
          <w:sz w:val="24"/>
          <w:szCs w:val="24"/>
        </w:rPr>
        <w:t>potential</w:t>
      </w:r>
      <w:r w:rsidRPr="00CD432F">
        <w:rPr>
          <w:rFonts w:ascii="Times New Roman" w:hAnsi="Times New Roman" w:cs="Times New Roman"/>
          <w:sz w:val="24"/>
          <w:szCs w:val="24"/>
        </w:rPr>
        <w:t xml:space="preserve"> bias in 12 of the 15 KHIs, while the </w:t>
      </w:r>
      <w:r>
        <w:rPr>
          <w:rFonts w:ascii="Times New Roman" w:hAnsi="Times New Roman" w:cs="Times New Roman"/>
          <w:sz w:val="24"/>
          <w:szCs w:val="24"/>
        </w:rPr>
        <w:t>random forest method</w:t>
      </w:r>
      <w:r w:rsidRPr="00CD432F">
        <w:rPr>
          <w:rFonts w:ascii="Times New Roman" w:hAnsi="Times New Roman" w:cs="Times New Roman"/>
          <w:sz w:val="24"/>
          <w:szCs w:val="24"/>
        </w:rPr>
        <w:t xml:space="preserve"> only identified bias in 10. The amount of</w:t>
      </w:r>
      <w:r>
        <w:rPr>
          <w:rFonts w:ascii="Times New Roman" w:hAnsi="Times New Roman" w:cs="Times New Roman"/>
          <w:sz w:val="24"/>
          <w:szCs w:val="24"/>
        </w:rPr>
        <w:t xml:space="preserve"> </w:t>
      </w:r>
      <w:r w:rsidRPr="5711EA29">
        <w:rPr>
          <w:rFonts w:ascii="Times New Roman" w:hAnsi="Times New Roman" w:cs="Times New Roman"/>
          <w:sz w:val="24"/>
          <w:szCs w:val="24"/>
        </w:rPr>
        <w:t>nonresponse</w:t>
      </w:r>
      <w:r w:rsidRPr="00CD432F">
        <w:rPr>
          <w:rFonts w:ascii="Times New Roman" w:hAnsi="Times New Roman" w:cs="Times New Roman"/>
          <w:sz w:val="24"/>
          <w:szCs w:val="24"/>
        </w:rPr>
        <w:t xml:space="preserve"> bias identified was very similar, on average</w:t>
      </w:r>
      <w:r>
        <w:rPr>
          <w:rFonts w:ascii="Times New Roman" w:hAnsi="Times New Roman" w:cs="Times New Roman"/>
          <w:sz w:val="24"/>
          <w:szCs w:val="24"/>
        </w:rPr>
        <w:t>,</w:t>
      </w:r>
      <w:r w:rsidRPr="00CD432F">
        <w:rPr>
          <w:rFonts w:ascii="Times New Roman" w:hAnsi="Times New Roman" w:cs="Times New Roman"/>
          <w:sz w:val="24"/>
          <w:szCs w:val="24"/>
        </w:rPr>
        <w:t xml:space="preserve"> across KHIs between the multilevel model and </w:t>
      </w:r>
      <w:r>
        <w:rPr>
          <w:rFonts w:ascii="Times New Roman" w:hAnsi="Times New Roman" w:cs="Times New Roman"/>
          <w:sz w:val="24"/>
          <w:szCs w:val="24"/>
        </w:rPr>
        <w:t>random forest method</w:t>
      </w:r>
      <w:r w:rsidRPr="00CD432F">
        <w:rPr>
          <w:rFonts w:ascii="Times New Roman" w:hAnsi="Times New Roman" w:cs="Times New Roman"/>
          <w:sz w:val="24"/>
          <w:szCs w:val="24"/>
        </w:rPr>
        <w:t xml:space="preserve"> (about </w:t>
      </w:r>
      <w:r>
        <w:rPr>
          <w:rFonts w:ascii="Times New Roman" w:hAnsi="Times New Roman" w:cs="Times New Roman"/>
          <w:sz w:val="24"/>
          <w:szCs w:val="24"/>
        </w:rPr>
        <w:t>2</w:t>
      </w:r>
      <w:r w:rsidRPr="00CD432F">
        <w:rPr>
          <w:rFonts w:ascii="Times New Roman" w:hAnsi="Times New Roman" w:cs="Times New Roman"/>
          <w:sz w:val="24"/>
          <w:szCs w:val="24"/>
        </w:rPr>
        <w:t xml:space="preserve">–7 </w:t>
      </w:r>
      <w:r>
        <w:rPr>
          <w:rFonts w:ascii="Times New Roman" w:hAnsi="Times New Roman" w:cs="Times New Roman"/>
          <w:sz w:val="24"/>
          <w:szCs w:val="24"/>
        </w:rPr>
        <w:t xml:space="preserve">on the </w:t>
      </w:r>
      <w:r w:rsidRPr="00FC51F5">
        <w:rPr>
          <w:rFonts w:ascii="Times New Roman" w:hAnsi="Times New Roman" w:cs="Times New Roman"/>
          <w:i/>
          <w:iCs/>
          <w:sz w:val="24"/>
          <w:szCs w:val="24"/>
        </w:rPr>
        <w:t>t-value scale</w:t>
      </w:r>
      <w:r>
        <w:rPr>
          <w:rFonts w:ascii="Times New Roman" w:hAnsi="Times New Roman" w:cs="Times New Roman"/>
          <w:sz w:val="24"/>
          <w:szCs w:val="24"/>
        </w:rPr>
        <w:t xml:space="preserve"> for</w:t>
      </w:r>
      <w:r w:rsidRPr="0009775C">
        <w:rPr>
          <w:rFonts w:ascii="Times New Roman" w:hAnsi="Times New Roman" w:cs="Times New Roman"/>
          <w:sz w:val="24"/>
          <w:szCs w:val="24"/>
        </w:rPr>
        <w:t xml:space="preserve"> each</w:t>
      </w:r>
      <w:r>
        <w:rPr>
          <w:rFonts w:ascii="Times New Roman" w:hAnsi="Times New Roman" w:cs="Times New Roman"/>
          <w:sz w:val="24"/>
          <w:szCs w:val="24"/>
        </w:rPr>
        <w:t xml:space="preserve"> prediction approach</w:t>
      </w:r>
      <w:r w:rsidRPr="0009775C">
        <w:rPr>
          <w:rFonts w:ascii="Times New Roman" w:hAnsi="Times New Roman" w:cs="Times New Roman"/>
          <w:sz w:val="24"/>
          <w:szCs w:val="24"/>
        </w:rPr>
        <w:t>)</w:t>
      </w:r>
      <w:r w:rsidRPr="00CD432F">
        <w:rPr>
          <w:rFonts w:ascii="Times New Roman" w:hAnsi="Times New Roman" w:cs="Times New Roman"/>
          <w:sz w:val="24"/>
          <w:szCs w:val="24"/>
        </w:rPr>
        <w:t xml:space="preserve">. However, the KHIs on which bias was identified differed </w:t>
      </w:r>
      <w:r>
        <w:rPr>
          <w:rFonts w:ascii="Times New Roman" w:hAnsi="Times New Roman" w:cs="Times New Roman"/>
          <w:sz w:val="24"/>
          <w:szCs w:val="24"/>
        </w:rPr>
        <w:t>by prediction method</w:t>
      </w:r>
      <w:r w:rsidRPr="00CD432F">
        <w:rPr>
          <w:rFonts w:ascii="Times New Roman" w:hAnsi="Times New Roman" w:cs="Times New Roman"/>
          <w:sz w:val="24"/>
          <w:szCs w:val="24"/>
        </w:rPr>
        <w:t xml:space="preserve">. Both </w:t>
      </w:r>
      <w:r>
        <w:rPr>
          <w:rFonts w:ascii="Times New Roman" w:hAnsi="Times New Roman" w:cs="Times New Roman"/>
          <w:sz w:val="24"/>
          <w:szCs w:val="24"/>
        </w:rPr>
        <w:t xml:space="preserve">methods </w:t>
      </w:r>
      <w:r w:rsidRPr="00CD432F">
        <w:rPr>
          <w:rFonts w:ascii="Times New Roman" w:hAnsi="Times New Roman" w:cs="Times New Roman"/>
          <w:sz w:val="24"/>
          <w:szCs w:val="24"/>
        </w:rPr>
        <w:t>identified bias in the following KHIs</w:t>
      </w:r>
      <w:r w:rsidRPr="0061527C">
        <w:rPr>
          <w:rFonts w:ascii="Times New Roman" w:hAnsi="Times New Roman" w:cs="Times New Roman"/>
          <w:sz w:val="24"/>
          <w:szCs w:val="24"/>
        </w:rPr>
        <w:t>: public insurance (+)</w:t>
      </w:r>
      <w:r>
        <w:rPr>
          <w:rFonts w:ascii="Times New Roman" w:hAnsi="Times New Roman" w:cs="Times New Roman"/>
          <w:sz w:val="24"/>
          <w:szCs w:val="24"/>
        </w:rPr>
        <w:t xml:space="preserve">, </w:t>
      </w:r>
      <w:r w:rsidRPr="0061527C">
        <w:rPr>
          <w:rFonts w:ascii="Times New Roman" w:hAnsi="Times New Roman" w:cs="Times New Roman"/>
          <w:sz w:val="24"/>
          <w:szCs w:val="24"/>
        </w:rPr>
        <w:t>private insurance (-)</w:t>
      </w:r>
      <w:r>
        <w:rPr>
          <w:rFonts w:ascii="Times New Roman" w:hAnsi="Times New Roman" w:cs="Times New Roman"/>
          <w:sz w:val="24"/>
          <w:szCs w:val="24"/>
        </w:rPr>
        <w:t xml:space="preserve">, </w:t>
      </w:r>
      <w:r w:rsidRPr="0061527C">
        <w:rPr>
          <w:rFonts w:ascii="Times New Roman" w:hAnsi="Times New Roman" w:cs="Times New Roman"/>
          <w:sz w:val="24"/>
          <w:szCs w:val="24"/>
        </w:rPr>
        <w:t>uninsured (-),</w:t>
      </w:r>
      <w:r>
        <w:rPr>
          <w:rFonts w:ascii="Times New Roman" w:hAnsi="Times New Roman" w:cs="Times New Roman"/>
          <w:sz w:val="24"/>
          <w:szCs w:val="24"/>
        </w:rPr>
        <w:t xml:space="preserve"> </w:t>
      </w:r>
      <w:r w:rsidRPr="0061527C">
        <w:rPr>
          <w:rFonts w:ascii="Times New Roman" w:hAnsi="Times New Roman" w:cs="Times New Roman"/>
          <w:sz w:val="24"/>
          <w:szCs w:val="24"/>
        </w:rPr>
        <w:t>doctor visit (+)</w:t>
      </w:r>
      <w:r>
        <w:rPr>
          <w:rFonts w:ascii="Times New Roman" w:hAnsi="Times New Roman" w:cs="Times New Roman"/>
          <w:sz w:val="24"/>
          <w:szCs w:val="24"/>
        </w:rPr>
        <w:t xml:space="preserve">, influenza </w:t>
      </w:r>
      <w:r w:rsidRPr="0061527C">
        <w:rPr>
          <w:rFonts w:ascii="Times New Roman" w:hAnsi="Times New Roman" w:cs="Times New Roman"/>
          <w:sz w:val="24"/>
          <w:szCs w:val="24"/>
        </w:rPr>
        <w:t>vaccination (+)</w:t>
      </w:r>
      <w:r>
        <w:rPr>
          <w:rFonts w:ascii="Times New Roman" w:hAnsi="Times New Roman" w:cs="Times New Roman"/>
          <w:sz w:val="24"/>
          <w:szCs w:val="24"/>
        </w:rPr>
        <w:t xml:space="preserve">, </w:t>
      </w:r>
      <w:r w:rsidRPr="0061527C">
        <w:rPr>
          <w:rFonts w:ascii="Times New Roman" w:hAnsi="Times New Roman" w:cs="Times New Roman"/>
          <w:sz w:val="24"/>
          <w:szCs w:val="24"/>
        </w:rPr>
        <w:t>disability (+)</w:t>
      </w:r>
      <w:r>
        <w:rPr>
          <w:rFonts w:ascii="Times New Roman" w:hAnsi="Times New Roman" w:cs="Times New Roman"/>
          <w:sz w:val="24"/>
          <w:szCs w:val="24"/>
        </w:rPr>
        <w:t xml:space="preserve">, having a prescription for </w:t>
      </w:r>
      <w:r w:rsidRPr="0061527C">
        <w:rPr>
          <w:rFonts w:ascii="Times New Roman" w:hAnsi="Times New Roman" w:cs="Times New Roman"/>
          <w:sz w:val="24"/>
          <w:szCs w:val="24"/>
        </w:rPr>
        <w:t>hypertension (+)</w:t>
      </w:r>
      <w:r>
        <w:rPr>
          <w:rFonts w:ascii="Times New Roman" w:hAnsi="Times New Roman" w:cs="Times New Roman"/>
          <w:sz w:val="24"/>
          <w:szCs w:val="24"/>
        </w:rPr>
        <w:t xml:space="preserve">, </w:t>
      </w:r>
      <w:r w:rsidRPr="0061527C">
        <w:rPr>
          <w:rFonts w:ascii="Times New Roman" w:hAnsi="Times New Roman" w:cs="Times New Roman"/>
          <w:sz w:val="24"/>
          <w:szCs w:val="24"/>
        </w:rPr>
        <w:t>excellent or very good health (-)</w:t>
      </w:r>
      <w:r>
        <w:rPr>
          <w:rFonts w:ascii="Times New Roman" w:hAnsi="Times New Roman" w:cs="Times New Roman"/>
          <w:sz w:val="24"/>
          <w:szCs w:val="24"/>
        </w:rPr>
        <w:t xml:space="preserve">, usual </w:t>
      </w:r>
      <w:r w:rsidRPr="0061527C">
        <w:rPr>
          <w:rFonts w:ascii="Times New Roman" w:hAnsi="Times New Roman" w:cs="Times New Roman"/>
          <w:sz w:val="24"/>
          <w:szCs w:val="24"/>
        </w:rPr>
        <w:t>source of care (+),</w:t>
      </w:r>
    </w:p>
    <w:p w14:paraId="549C29FA" w14:textId="77777777" w:rsidR="004859A8" w:rsidRDefault="004859A8" w:rsidP="004859A8">
      <w:pPr>
        <w:rPr>
          <w:rFonts w:ascii="Times New Roman" w:hAnsi="Times New Roman" w:cs="Times New Roman"/>
          <w:sz w:val="24"/>
          <w:szCs w:val="24"/>
        </w:rPr>
      </w:pPr>
      <w:r>
        <w:rPr>
          <w:rFonts w:ascii="Times New Roman" w:hAnsi="Times New Roman" w:cs="Times New Roman"/>
          <w:sz w:val="24"/>
          <w:szCs w:val="24"/>
        </w:rPr>
        <w:t xml:space="preserve">Multilevel regression uniquely identified bias in emergency department visits in the past year (+), mental health counseling (+), </w:t>
      </w:r>
      <w:r w:rsidRPr="0061527C">
        <w:rPr>
          <w:rFonts w:ascii="Times New Roman" w:hAnsi="Times New Roman" w:cs="Times New Roman"/>
          <w:sz w:val="24"/>
          <w:szCs w:val="24"/>
        </w:rPr>
        <w:t xml:space="preserve">and skipping </w:t>
      </w:r>
      <w:r w:rsidRPr="0009775C">
        <w:rPr>
          <w:rFonts w:ascii="Times New Roman" w:hAnsi="Times New Roman" w:cs="Times New Roman"/>
          <w:sz w:val="24"/>
          <w:szCs w:val="24"/>
        </w:rPr>
        <w:t>medicatio</w:t>
      </w:r>
      <w:r w:rsidRPr="0061527C">
        <w:rPr>
          <w:rFonts w:ascii="Times New Roman" w:hAnsi="Times New Roman" w:cs="Times New Roman"/>
          <w:sz w:val="24"/>
          <w:szCs w:val="24"/>
        </w:rPr>
        <w:t>n due to cost (-).</w:t>
      </w:r>
      <w:r>
        <w:rPr>
          <w:rFonts w:ascii="Times New Roman" w:hAnsi="Times New Roman" w:cs="Times New Roman"/>
          <w:sz w:val="24"/>
          <w:szCs w:val="24"/>
        </w:rPr>
        <w:t xml:space="preserve"> The random forest method uniquely identified bias in obesity (+). Neither model identified statistically significant bias in past-year asthma episodes or cigarette smoking. </w:t>
      </w:r>
      <w:r w:rsidRPr="00CD432F">
        <w:rPr>
          <w:rFonts w:ascii="Times New Roman" w:hAnsi="Times New Roman" w:cs="Times New Roman"/>
          <w:sz w:val="24"/>
          <w:szCs w:val="24"/>
        </w:rPr>
        <w:t xml:space="preserve">The </w:t>
      </w:r>
      <w:r>
        <w:rPr>
          <w:rFonts w:ascii="Times New Roman" w:hAnsi="Times New Roman" w:cs="Times New Roman"/>
          <w:sz w:val="24"/>
          <w:szCs w:val="24"/>
        </w:rPr>
        <w:t>greatest</w:t>
      </w:r>
      <w:r w:rsidRPr="0009775C">
        <w:rPr>
          <w:rFonts w:ascii="Times New Roman" w:hAnsi="Times New Roman" w:cs="Times New Roman"/>
          <w:sz w:val="24"/>
          <w:szCs w:val="24"/>
        </w:rPr>
        <w:t xml:space="preserve"> amount of bias identified in both models was </w:t>
      </w:r>
      <w:r>
        <w:rPr>
          <w:rFonts w:ascii="Times New Roman" w:hAnsi="Times New Roman" w:cs="Times New Roman"/>
          <w:sz w:val="24"/>
          <w:szCs w:val="24"/>
        </w:rPr>
        <w:t>for</w:t>
      </w:r>
      <w:r w:rsidRPr="00CD432F">
        <w:rPr>
          <w:rFonts w:ascii="Times New Roman" w:hAnsi="Times New Roman" w:cs="Times New Roman"/>
          <w:sz w:val="24"/>
          <w:szCs w:val="24"/>
        </w:rPr>
        <w:t xml:space="preserve"> having public health insurance</w:t>
      </w:r>
      <w:r>
        <w:rPr>
          <w:rFonts w:ascii="Times New Roman" w:hAnsi="Times New Roman" w:cs="Times New Roman"/>
          <w:sz w:val="24"/>
          <w:szCs w:val="24"/>
        </w:rPr>
        <w:t>, receiving an influenza vaccination, and having</w:t>
      </w:r>
      <w:r w:rsidRPr="00C27056">
        <w:rPr>
          <w:rFonts w:ascii="Times New Roman" w:hAnsi="Times New Roman" w:cs="Times New Roman"/>
          <w:sz w:val="24"/>
          <w:szCs w:val="24"/>
        </w:rPr>
        <w:t xml:space="preserve"> </w:t>
      </w:r>
      <w:r w:rsidRPr="00CD432F">
        <w:rPr>
          <w:rFonts w:ascii="Times New Roman" w:hAnsi="Times New Roman" w:cs="Times New Roman"/>
          <w:sz w:val="24"/>
          <w:szCs w:val="24"/>
        </w:rPr>
        <w:t>hypertension.</w:t>
      </w:r>
      <w:r>
        <w:rPr>
          <w:rFonts w:ascii="Times New Roman" w:hAnsi="Times New Roman" w:cs="Times New Roman"/>
          <w:sz w:val="24"/>
          <w:szCs w:val="24"/>
        </w:rPr>
        <w:t xml:space="preserve"> </w:t>
      </w:r>
    </w:p>
    <w:p w14:paraId="4C010D76" w14:textId="745C8B80" w:rsidR="00190173" w:rsidRPr="00190173" w:rsidRDefault="00190173" w:rsidP="00190173">
      <w:pPr>
        <w:rPr>
          <w:rFonts w:ascii="Times New Roman" w:hAnsi="Times New Roman" w:cs="Times New Roman"/>
          <w:i/>
          <w:iCs/>
          <w:sz w:val="24"/>
          <w:szCs w:val="24"/>
        </w:rPr>
      </w:pPr>
      <w:r w:rsidRPr="00190173">
        <w:rPr>
          <w:rFonts w:ascii="Times New Roman" w:hAnsi="Times New Roman" w:cs="Times New Roman"/>
          <w:i/>
          <w:iCs/>
          <w:sz w:val="24"/>
          <w:szCs w:val="24"/>
        </w:rPr>
        <w:t>Conclusions</w:t>
      </w:r>
    </w:p>
    <w:p w14:paraId="098AD138" w14:textId="77777777" w:rsidR="00190173" w:rsidRDefault="00190173" w:rsidP="00190173">
      <w:pPr>
        <w:pStyle w:val="BODY"/>
      </w:pPr>
      <w:r w:rsidRPr="004C77FE">
        <w:t xml:space="preserve">Compared </w:t>
      </w:r>
      <w:r>
        <w:t xml:space="preserve">with the current NHIS nonresponse weighting method, </w:t>
      </w:r>
      <w:proofErr w:type="gramStart"/>
      <w:r>
        <w:t>regression</w:t>
      </w:r>
      <w:proofErr w:type="gramEnd"/>
      <w:r>
        <w:t xml:space="preserve"> and machine learning methods both adjusted estimates more strongly (i.e., moved estimates further from the base weights). However, these adjustments reduced effective sample size due to high variability in these weights. This design effect due to weighting could be mitigated by trimming or capping the nonresponse weights in a method </w:t>
      </w:r>
      <w:proofErr w:type="gramStart"/>
      <w:r>
        <w:t>similar to</w:t>
      </w:r>
      <w:proofErr w:type="gramEnd"/>
      <w:r>
        <w:t xml:space="preserve"> the current NHIS method. </w:t>
      </w:r>
    </w:p>
    <w:p w14:paraId="2D88FA42" w14:textId="77777777" w:rsidR="00190173" w:rsidRDefault="00190173" w:rsidP="00190173">
      <w:pPr>
        <w:pStyle w:val="BODY"/>
      </w:pPr>
      <w:r>
        <w:t xml:space="preserve">The tested raking calibration methods, when compared to the current NHIS post-stratification, show that raking to the same demographic dimensions produced very little change in final estimates. Adding education, employment, and MSA moved point estimates further from the </w:t>
      </w:r>
      <w:r w:rsidRPr="00360642">
        <w:t>post</w:t>
      </w:r>
      <w:r>
        <w:t>-</w:t>
      </w:r>
      <w:r w:rsidRPr="00360642">
        <w:t>stratified</w:t>
      </w:r>
      <w:r>
        <w:t xml:space="preserve"> estimates (but never more than a percentage point over all estimates assessed) and half a percentage point for </w:t>
      </w:r>
      <w:r w:rsidRPr="00536A34">
        <w:t>low prevalence</w:t>
      </w:r>
      <w:r>
        <w:t xml:space="preserve"> estimates. </w:t>
      </w:r>
    </w:p>
    <w:p w14:paraId="7549FEFD" w14:textId="77777777" w:rsidR="00AE21EF" w:rsidRDefault="00190173" w:rsidP="00190173">
      <w:pPr>
        <w:pStyle w:val="BODY"/>
      </w:pPr>
      <w:r>
        <w:t xml:space="preserve">The analyses have </w:t>
      </w:r>
      <w:r w:rsidR="00AE21EF">
        <w:t xml:space="preserve">a few </w:t>
      </w:r>
      <w:r>
        <w:t xml:space="preserve">limitations. First, the weights used in this study were not trimmed or capped as typically done with NHIS weights, limiting comparisons between the current NHIS weighting method and the candidate methods. Trimming or capping </w:t>
      </w:r>
      <w:r w:rsidRPr="00360642">
        <w:t>high weight values</w:t>
      </w:r>
      <w:r>
        <w:t xml:space="preserve"> to match the NHIS protocols would reduce the design effects due to weighting and could potentially change the effects that the candidate methods have on point estimates and standard errors. Second, these results only reflect the influence of weighting method on NHIS for one time point and one quarter of data. To understand the effect of these methods on trends over time, additional quarters should be added, and estimates should be assessed for any other temporal aggregations </w:t>
      </w:r>
      <w:r>
        <w:lastRenderedPageBreak/>
        <w:t>that are publicly reported (</w:t>
      </w:r>
      <w:r w:rsidRPr="00536A34">
        <w:t>i.e., year</w:t>
      </w:r>
      <w:r>
        <w:t xml:space="preserve">). Third, </w:t>
      </w:r>
      <w:r w:rsidR="00AE21EF">
        <w:t>we</w:t>
      </w:r>
      <w:r>
        <w:t xml:space="preserve"> assesse</w:t>
      </w:r>
      <w:r w:rsidR="00AE21EF">
        <w:t>d</w:t>
      </w:r>
      <w:r>
        <w:t xml:space="preserve"> the effect of the candidate weighting methods on a selected</w:t>
      </w:r>
      <w:r w:rsidR="00AE21EF">
        <w:t xml:space="preserve"> </w:t>
      </w:r>
      <w:r>
        <w:t xml:space="preserve">set of health estimates. </w:t>
      </w:r>
    </w:p>
    <w:p w14:paraId="34DE0D2D" w14:textId="3AABE633" w:rsidR="00190173" w:rsidRDefault="00AE21EF" w:rsidP="00190173">
      <w:pPr>
        <w:pStyle w:val="BODY"/>
      </w:pPr>
      <w:r>
        <w:t xml:space="preserve">We </w:t>
      </w:r>
      <w:r w:rsidR="00190173">
        <w:t xml:space="preserve">identified several other avenues for future NHIS weighting </w:t>
      </w:r>
      <w:r>
        <w:t>and recommendations as follows.</w:t>
      </w:r>
    </w:p>
    <w:p w14:paraId="45AC371D" w14:textId="19CEF41B" w:rsidR="00190173" w:rsidRDefault="00190173" w:rsidP="00AE21EF">
      <w:pPr>
        <w:pStyle w:val="NUMBEREDL1"/>
        <w:numPr>
          <w:ilvl w:val="0"/>
          <w:numId w:val="4"/>
        </w:numPr>
      </w:pPr>
      <w:r>
        <w:t xml:space="preserve">Prediction methods, whether regression or machine learning, will likely improve nonresponse bias correction, but may increase overall variance, thus reducing effective sample size. </w:t>
      </w:r>
    </w:p>
    <w:p w14:paraId="7ACB1D1D" w14:textId="5519ECF3" w:rsidR="00190173" w:rsidRDefault="00190173" w:rsidP="00AE21EF">
      <w:pPr>
        <w:pStyle w:val="NUMBEREDL1"/>
        <w:numPr>
          <w:ilvl w:val="0"/>
          <w:numId w:val="4"/>
        </w:numPr>
      </w:pPr>
      <w:r>
        <w:t>Nonresponse w</w:t>
      </w:r>
      <w:r w:rsidRPr="006170B3">
        <w:t>eight</w:t>
      </w:r>
      <w:r>
        <w:t>s</w:t>
      </w:r>
      <w:r w:rsidRPr="006170B3">
        <w:t xml:space="preserve"> based on multilevel logistic regression models</w:t>
      </w:r>
      <w:r>
        <w:t>, on average, perform better than the random forest machine learning method, and have a lower design effect. Combined with transparency and ease of implementation, multilevel regression models are recommended for further nonresponse weighting exploration.</w:t>
      </w:r>
      <w:r w:rsidRPr="006170B3">
        <w:t xml:space="preserve"> </w:t>
      </w:r>
    </w:p>
    <w:p w14:paraId="5D28C99C" w14:textId="77777777" w:rsidR="00190173" w:rsidRDefault="00190173" w:rsidP="00AE21EF">
      <w:pPr>
        <w:pStyle w:val="NUMBEREDL1"/>
        <w:numPr>
          <w:ilvl w:val="0"/>
          <w:numId w:val="4"/>
        </w:numPr>
      </w:pPr>
      <w:r w:rsidRPr="00E32745">
        <w:t>An extended raking procedure should be considered. This includes conducting iterative raking instead of single post</w:t>
      </w:r>
      <w:r>
        <w:t>-</w:t>
      </w:r>
      <w:r w:rsidRPr="00E32745">
        <w:t xml:space="preserve">stratification and expanding the </w:t>
      </w:r>
      <w:r>
        <w:t xml:space="preserve">used </w:t>
      </w:r>
      <w:r w:rsidRPr="00E32745">
        <w:t>demographic control totals from only age, sex, and race</w:t>
      </w:r>
      <w:r>
        <w:t>/</w:t>
      </w:r>
      <w:r w:rsidRPr="00E32745">
        <w:t xml:space="preserve">ethnicity to also include education, employment, and </w:t>
      </w:r>
      <w:r>
        <w:t>MSA</w:t>
      </w:r>
      <w:r w:rsidRPr="00E32745">
        <w:t xml:space="preserve"> to provide further bias reduction</w:t>
      </w:r>
      <w:r>
        <w:t xml:space="preserve"> and correct any overcorrection introduced at the nonresponse adjustment stage. </w:t>
      </w:r>
    </w:p>
    <w:p w14:paraId="00CB4B0E" w14:textId="77777777" w:rsidR="00190173" w:rsidRDefault="00190173" w:rsidP="00190173">
      <w:pPr>
        <w:pStyle w:val="BODY"/>
      </w:pPr>
      <w:r w:rsidRPr="006170B3">
        <w:t xml:space="preserve">While </w:t>
      </w:r>
      <w:r>
        <w:t xml:space="preserve">the </w:t>
      </w:r>
      <w:r w:rsidRPr="006170B3">
        <w:t xml:space="preserve">results did not conclusively point to one method over another, </w:t>
      </w:r>
      <w:r>
        <w:t xml:space="preserve">and the study did not assess the impact of the weighting methods on trends, the results provide support for </w:t>
      </w:r>
      <w:r w:rsidRPr="006170B3">
        <w:t>significant change</w:t>
      </w:r>
      <w:r>
        <w:t>s</w:t>
      </w:r>
      <w:r w:rsidRPr="006170B3">
        <w:t xml:space="preserve"> in NHIS weighting procedures. </w:t>
      </w:r>
      <w:r>
        <w:t>This study</w:t>
      </w:r>
      <w:r w:rsidRPr="006170B3">
        <w:t xml:space="preserve"> discuss</w:t>
      </w:r>
      <w:r>
        <w:t>es</w:t>
      </w:r>
      <w:r w:rsidRPr="006170B3">
        <w:t xml:space="preserve"> the logistical challenges in implementing these methods and </w:t>
      </w:r>
      <w:r>
        <w:t xml:space="preserve">suggests </w:t>
      </w:r>
      <w:r w:rsidRPr="006170B3">
        <w:t>additional research that would help clarify the differential impacts of various weighting methods and provide more confidence for NCHS moving forward.</w:t>
      </w:r>
    </w:p>
    <w:p w14:paraId="233D8101" w14:textId="77777777" w:rsidR="00190173" w:rsidRDefault="00190173" w:rsidP="00190173">
      <w:pPr>
        <w:rPr>
          <w:rFonts w:ascii="Times New Roman" w:hAnsi="Times New Roman" w:cs="Times New Roman"/>
          <w:sz w:val="24"/>
          <w:szCs w:val="24"/>
        </w:rPr>
      </w:pPr>
    </w:p>
    <w:p w14:paraId="34CA3591" w14:textId="77777777" w:rsidR="00190173" w:rsidRPr="00190173" w:rsidRDefault="00190173" w:rsidP="00190173">
      <w:pPr>
        <w:rPr>
          <w:rFonts w:ascii="Times New Roman" w:hAnsi="Times New Roman" w:cs="Times New Roman"/>
          <w:sz w:val="24"/>
          <w:szCs w:val="24"/>
        </w:rPr>
      </w:pPr>
    </w:p>
    <w:p w14:paraId="66AE3575" w14:textId="77777777" w:rsidR="00C53FFF" w:rsidRPr="00536A34" w:rsidRDefault="00C53FFF" w:rsidP="00C53FFF">
      <w:pPr>
        <w:pStyle w:val="NUMBEREDL1"/>
        <w:numPr>
          <w:ilvl w:val="0"/>
          <w:numId w:val="0"/>
        </w:numPr>
      </w:pPr>
    </w:p>
    <w:p w14:paraId="25631188" w14:textId="77777777" w:rsidR="00244B44" w:rsidRDefault="00244B44"/>
    <w:sectPr w:rsidR="00244B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044B1" w14:textId="77777777" w:rsidR="0070714B" w:rsidRDefault="0070714B" w:rsidP="00244B44">
      <w:pPr>
        <w:spacing w:after="0" w:line="240" w:lineRule="auto"/>
      </w:pPr>
      <w:r>
        <w:separator/>
      </w:r>
    </w:p>
  </w:endnote>
  <w:endnote w:type="continuationSeparator" w:id="0">
    <w:p w14:paraId="127C43FE" w14:textId="77777777" w:rsidR="0070714B" w:rsidRDefault="0070714B" w:rsidP="0024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DE5B1" w14:textId="77777777" w:rsidR="0070714B" w:rsidRDefault="0070714B" w:rsidP="00244B44">
      <w:pPr>
        <w:spacing w:after="0" w:line="240" w:lineRule="auto"/>
      </w:pPr>
      <w:r>
        <w:separator/>
      </w:r>
    </w:p>
  </w:footnote>
  <w:footnote w:type="continuationSeparator" w:id="0">
    <w:p w14:paraId="47318034" w14:textId="77777777" w:rsidR="0070714B" w:rsidRDefault="0070714B" w:rsidP="00244B44">
      <w:pPr>
        <w:spacing w:after="0" w:line="240" w:lineRule="auto"/>
      </w:pPr>
      <w:r>
        <w:continuationSeparator/>
      </w:r>
    </w:p>
  </w:footnote>
  <w:footnote w:id="1">
    <w:p w14:paraId="558D4E8A" w14:textId="77777777" w:rsidR="00244B44" w:rsidRDefault="00244B44" w:rsidP="00244B44">
      <w:pPr>
        <w:pStyle w:val="FootnoteText"/>
      </w:pPr>
      <w:r>
        <w:rPr>
          <w:rStyle w:val="FootnoteReference"/>
        </w:rPr>
        <w:footnoteRef/>
      </w:r>
      <w:r>
        <w:t xml:space="preserve"> </w:t>
      </w:r>
      <w:r w:rsidRPr="000A6582">
        <w:t xml:space="preserve">Dahlhamer, J. M., &amp; Simile, C. M. (2009). Subunit nonresponse in the National Health Interview Survey (NHIS): An exploration using </w:t>
      </w:r>
      <w:proofErr w:type="spellStart"/>
      <w:r w:rsidRPr="000A6582">
        <w:t>paradata</w:t>
      </w:r>
      <w:proofErr w:type="spellEnd"/>
      <w:r w:rsidRPr="000A6582">
        <w:t xml:space="preserve">. In Proceedings of the Survey Research Methods Section, American Statistical Association (pp. 262–276). Retrieved from </w:t>
      </w:r>
      <w:hyperlink r:id="rId1" w:history="1">
        <w:r w:rsidRPr="00E66F44">
          <w:rPr>
            <w:rStyle w:val="Hyperlink"/>
          </w:rPr>
          <w:t>http://www.amstat.org/Sections/Srms/Proceedings/y2009/Files/302933.pdf</w:t>
        </w:r>
      </w:hyperlink>
      <w:r>
        <w:t xml:space="preserve"> </w:t>
      </w:r>
    </w:p>
  </w:footnote>
  <w:footnote w:id="2">
    <w:p w14:paraId="290AE11F" w14:textId="77777777" w:rsidR="00244B44" w:rsidRDefault="00244B44" w:rsidP="00244B44">
      <w:pPr>
        <w:pStyle w:val="FootnoteText"/>
      </w:pPr>
      <w:r>
        <w:rPr>
          <w:rStyle w:val="FootnoteReference"/>
        </w:rPr>
        <w:footnoteRef/>
      </w:r>
      <w:r>
        <w:t xml:space="preserve"> </w:t>
      </w:r>
      <w:r w:rsidRPr="00A72983">
        <w:t xml:space="preserve">Jans, M., McLaughlin, K., Viana, J., Grant, D., Park, R., &amp; Ponce, N. A. (2018, in press). Geographic correlates of nonresponse in California: A cultural ecosystems perspective. In T. J. </w:t>
      </w:r>
      <w:proofErr w:type="spellStart"/>
      <w:r w:rsidRPr="00A72983">
        <w:t>Dorer</w:t>
      </w:r>
      <w:proofErr w:type="spellEnd"/>
      <w:r w:rsidRPr="00A72983">
        <w:t xml:space="preserve">, B. Pennell, I. Stoop, &amp; B. </w:t>
      </w:r>
      <w:proofErr w:type="spellStart"/>
      <w:r w:rsidRPr="00A72983">
        <w:t>Dorer</w:t>
      </w:r>
      <w:proofErr w:type="spellEnd"/>
      <w:r w:rsidRPr="00A72983">
        <w:t xml:space="preserve"> (Eds.), Advances in Comparative Survey Methodology. Hoboken, NJ: Wiley.</w:t>
      </w:r>
    </w:p>
  </w:footnote>
  <w:footnote w:id="3">
    <w:p w14:paraId="216B25B3" w14:textId="77777777" w:rsidR="00244B44" w:rsidRDefault="00244B44" w:rsidP="00244B44">
      <w:pPr>
        <w:pStyle w:val="FootnoteText"/>
      </w:pPr>
      <w:r>
        <w:rPr>
          <w:rStyle w:val="FootnoteReference"/>
        </w:rPr>
        <w:footnoteRef/>
      </w:r>
      <w:r>
        <w:t xml:space="preserve"> </w:t>
      </w:r>
      <w:r w:rsidRPr="00E949CB">
        <w:t xml:space="preserve">Casas-Cordero, C., </w:t>
      </w:r>
      <w:proofErr w:type="spellStart"/>
      <w:r w:rsidRPr="00E949CB">
        <w:t>Kreuter</w:t>
      </w:r>
      <w:proofErr w:type="spellEnd"/>
      <w:r w:rsidRPr="00E949CB">
        <w:t xml:space="preserve">, F., Wang, Y., &amp; </w:t>
      </w:r>
      <w:proofErr w:type="spellStart"/>
      <w:r w:rsidRPr="00E949CB">
        <w:t>Babey</w:t>
      </w:r>
      <w:proofErr w:type="spellEnd"/>
      <w:r w:rsidRPr="00E949CB">
        <w:t xml:space="preserve">, S. (2013). Assessing the measurement error properties of interviewer observations of </w:t>
      </w:r>
      <w:proofErr w:type="spellStart"/>
      <w:r w:rsidRPr="00E949CB">
        <w:t>neighbourhood</w:t>
      </w:r>
      <w:proofErr w:type="spellEnd"/>
      <w:r w:rsidRPr="00E949CB">
        <w:t xml:space="preserve"> characteristics. Journal of the Royal Statistical Society. Series A, (Statistics in Society), 176(1), 227–249. </w:t>
      </w:r>
      <w:hyperlink r:id="rId2" w:history="1">
        <w:r w:rsidRPr="00E66F44">
          <w:rPr>
            <w:rStyle w:val="Hyperlink"/>
          </w:rPr>
          <w:t>https://doi.org/10.1111/j.1467-985X.2012.01065.x</w:t>
        </w:r>
      </w:hyperlink>
      <w:r>
        <w:t xml:space="preserve"> </w:t>
      </w:r>
    </w:p>
  </w:footnote>
  <w:footnote w:id="4">
    <w:p w14:paraId="269209CA" w14:textId="77777777" w:rsidR="00244B44" w:rsidRDefault="00244B44" w:rsidP="00244B44">
      <w:pPr>
        <w:pStyle w:val="FootnoteText"/>
      </w:pPr>
      <w:r>
        <w:rPr>
          <w:rStyle w:val="FootnoteReference"/>
        </w:rPr>
        <w:footnoteRef/>
      </w:r>
      <w:r>
        <w:t xml:space="preserve"> </w:t>
      </w:r>
      <w:r w:rsidRPr="00C15AB5">
        <w:t>Dahlhamer, J. M., &amp; Jans, M. (2011). With an eye toward responsive design: The development of response propensity models with the National Health Interview Survey. Presented at the 22nd International Workshop on Household Survey Nonresponse, Bilbao, Spain.</w:t>
      </w:r>
    </w:p>
  </w:footnote>
  <w:footnote w:id="5">
    <w:p w14:paraId="4B8E41FB" w14:textId="77777777" w:rsidR="00244B44" w:rsidRDefault="00244B44" w:rsidP="00244B44">
      <w:pPr>
        <w:pStyle w:val="FootnoteText"/>
      </w:pPr>
      <w:r>
        <w:rPr>
          <w:rStyle w:val="FootnoteReference"/>
        </w:rPr>
        <w:footnoteRef/>
      </w:r>
      <w:r>
        <w:t xml:space="preserve"> </w:t>
      </w:r>
      <w:proofErr w:type="spellStart"/>
      <w:r w:rsidRPr="00AF0BD4">
        <w:t>Durrant</w:t>
      </w:r>
      <w:proofErr w:type="spellEnd"/>
      <w:r w:rsidRPr="00AF0BD4">
        <w:t xml:space="preserve">, G. B., &amp; </w:t>
      </w:r>
      <w:proofErr w:type="spellStart"/>
      <w:r w:rsidRPr="00AF0BD4">
        <w:t>D’Arrigo</w:t>
      </w:r>
      <w:proofErr w:type="spellEnd"/>
      <w:r w:rsidRPr="00AF0BD4">
        <w:t xml:space="preserve">, J. (2014). Doorstep interactions and interviewer effects on the process leading to cooperation or refusal. Sociological Methods &amp; Research, 43(3), 490–518. </w:t>
      </w:r>
      <w:hyperlink r:id="rId3" w:history="1">
        <w:r w:rsidRPr="00E66F44">
          <w:rPr>
            <w:rStyle w:val="Hyperlink"/>
          </w:rPr>
          <w:t>https://doi.org/10.1177/0049124114521148</w:t>
        </w:r>
      </w:hyperlink>
      <w:r>
        <w:t xml:space="preserve"> </w:t>
      </w:r>
    </w:p>
  </w:footnote>
  <w:footnote w:id="6">
    <w:p w14:paraId="2B860B7B" w14:textId="77777777" w:rsidR="00244B44" w:rsidRDefault="00244B44" w:rsidP="00244B44">
      <w:pPr>
        <w:pStyle w:val="FootnoteText"/>
      </w:pPr>
      <w:r>
        <w:rPr>
          <w:rStyle w:val="FootnoteReference"/>
        </w:rPr>
        <w:footnoteRef/>
      </w:r>
      <w:r>
        <w:t xml:space="preserve"> </w:t>
      </w:r>
      <w:proofErr w:type="spellStart"/>
      <w:r w:rsidRPr="00236DE1">
        <w:t>Durrant</w:t>
      </w:r>
      <w:proofErr w:type="spellEnd"/>
      <w:r w:rsidRPr="00236DE1">
        <w:t xml:space="preserve">, G. B., </w:t>
      </w:r>
      <w:proofErr w:type="spellStart"/>
      <w:r w:rsidRPr="00236DE1">
        <w:t>D’Arrigo</w:t>
      </w:r>
      <w:proofErr w:type="spellEnd"/>
      <w:r w:rsidRPr="00236DE1">
        <w:t xml:space="preserve">, J., &amp; Müller, G. (2013). Modeling call record data: Examples from cross-sectional and longitudinal surveys. In F. </w:t>
      </w:r>
      <w:proofErr w:type="spellStart"/>
      <w:r w:rsidRPr="00236DE1">
        <w:t>Kreuter</w:t>
      </w:r>
      <w:proofErr w:type="spellEnd"/>
      <w:r w:rsidRPr="00236DE1">
        <w:t xml:space="preserve"> (Ed.), Improving Surveys with </w:t>
      </w:r>
      <w:proofErr w:type="spellStart"/>
      <w:r w:rsidRPr="00236DE1">
        <w:t>Paradata</w:t>
      </w:r>
      <w:proofErr w:type="spellEnd"/>
      <w:r w:rsidRPr="00236DE1">
        <w:t xml:space="preserve"> (pp. 281–308). John Wiley &amp; Sons, Inc. Retrieved from </w:t>
      </w:r>
      <w:hyperlink r:id="rId4" w:history="1">
        <w:r w:rsidRPr="00E66F44">
          <w:rPr>
            <w:rStyle w:val="Hyperlink"/>
          </w:rPr>
          <w:t>http://onlinelibrary.wiley.com/doi/10.1002/9781118596869.ch12/summary</w:t>
        </w:r>
      </w:hyperlink>
      <w:r>
        <w:t xml:space="preserve"> </w:t>
      </w:r>
    </w:p>
  </w:footnote>
  <w:footnote w:id="7">
    <w:p w14:paraId="50734A98" w14:textId="77777777" w:rsidR="00244B44" w:rsidRDefault="00244B44" w:rsidP="00244B44">
      <w:pPr>
        <w:pStyle w:val="FootnoteText"/>
      </w:pPr>
      <w:r>
        <w:rPr>
          <w:rStyle w:val="FootnoteReference"/>
        </w:rPr>
        <w:footnoteRef/>
      </w:r>
      <w:r>
        <w:t xml:space="preserve"> </w:t>
      </w:r>
      <w:proofErr w:type="spellStart"/>
      <w:r w:rsidRPr="004B3F71">
        <w:t>Durrant</w:t>
      </w:r>
      <w:proofErr w:type="spellEnd"/>
      <w:r w:rsidRPr="004B3F71">
        <w:t xml:space="preserve">, G. B., &amp; Steele, F. (2009). Multilevel modelling of refusal and noncontact in household surveys: Evidence from six UK government surveys. Journal of the Royal Statistical Society: Series A (Statistics in Society), 172(2), 361–381. </w:t>
      </w:r>
      <w:hyperlink r:id="rId5" w:history="1">
        <w:r w:rsidRPr="00E66F44">
          <w:rPr>
            <w:rStyle w:val="Hyperlink"/>
          </w:rPr>
          <w:t>https://doi.org/10.1111/j.1467-985X.2008.00565.x</w:t>
        </w:r>
      </w:hyperlink>
      <w:r>
        <w:t xml:space="preserve"> </w:t>
      </w:r>
    </w:p>
  </w:footnote>
  <w:footnote w:id="8">
    <w:p w14:paraId="7CD55FBE" w14:textId="77777777" w:rsidR="004859A8" w:rsidRDefault="004859A8" w:rsidP="004859A8">
      <w:pPr>
        <w:pStyle w:val="FootnoteText"/>
      </w:pPr>
      <w:r>
        <w:rPr>
          <w:rStyle w:val="FootnoteReference"/>
        </w:rPr>
        <w:footnoteRef/>
      </w:r>
      <w:r>
        <w:t xml:space="preserve"> </w:t>
      </w:r>
      <w:r w:rsidRPr="003B7538">
        <w:t xml:space="preserve">Dahlhamer, J. M., &amp; Simile, C. M. (2009). Subunit nonresponse in the National Health Interview Survey (NHIS): An exploration using </w:t>
      </w:r>
      <w:proofErr w:type="spellStart"/>
      <w:r w:rsidRPr="003B7538">
        <w:t>paradata</w:t>
      </w:r>
      <w:proofErr w:type="spellEnd"/>
      <w:r w:rsidRPr="003B7538">
        <w:t xml:space="preserve">. In Proceedings of the Survey Research Methods Section, American Statistical Association (pp. 262–276). Retrieved from </w:t>
      </w:r>
      <w:hyperlink r:id="rId6" w:history="1">
        <w:r w:rsidRPr="00653AD2">
          <w:rPr>
            <w:rStyle w:val="Hyperlink"/>
          </w:rPr>
          <w:t>http://www.amstat.org/Sections/Srms/Proceedings/y2009/Files/302933.pdf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E627E"/>
    <w:multiLevelType w:val="hybridMultilevel"/>
    <w:tmpl w:val="09FC4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2B5"/>
    <w:multiLevelType w:val="hybridMultilevel"/>
    <w:tmpl w:val="756AF08C"/>
    <w:lvl w:ilvl="0" w:tplc="BB7ABFF2">
      <w:start w:val="1"/>
      <w:numFmt w:val="bullet"/>
      <w:pStyle w:val="TABLEBulletL1"/>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65490"/>
    <w:multiLevelType w:val="multilevel"/>
    <w:tmpl w:val="C3AE6886"/>
    <w:lvl w:ilvl="0">
      <w:start w:val="1"/>
      <w:numFmt w:val="decimal"/>
      <w:pStyle w:val="NUMBEREDL1"/>
      <w:lvlText w:val="%1."/>
      <w:lvlJc w:val="left"/>
      <w:pPr>
        <w:ind w:left="360" w:hanging="360"/>
      </w:pPr>
      <w:rPr>
        <w:rFonts w:hint="default"/>
        <w:b/>
      </w:rPr>
    </w:lvl>
    <w:lvl w:ilvl="1">
      <w:start w:val="1"/>
      <w:numFmt w:val="lowerLetter"/>
      <w:pStyle w:val="NUMBEREDL2"/>
      <w:lvlText w:val="%2."/>
      <w:lvlJc w:val="left"/>
      <w:pPr>
        <w:ind w:left="72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1256154"/>
    <w:multiLevelType w:val="hybridMultilevel"/>
    <w:tmpl w:val="CDFE1428"/>
    <w:lvl w:ilvl="0" w:tplc="7ECE294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44"/>
    <w:rsid w:val="00190173"/>
    <w:rsid w:val="00244B44"/>
    <w:rsid w:val="004859A8"/>
    <w:rsid w:val="005A39AE"/>
    <w:rsid w:val="006C64CA"/>
    <w:rsid w:val="0070714B"/>
    <w:rsid w:val="008E6984"/>
    <w:rsid w:val="00AE21EF"/>
    <w:rsid w:val="00C5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553E"/>
  <w15:chartTrackingRefBased/>
  <w15:docId w15:val="{BE243149-D351-4638-B595-56E2DDD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1">
    <w:name w:val="NUMBERED L1"/>
    <w:basedOn w:val="ListParagraph"/>
    <w:uiPriority w:val="99"/>
    <w:qFormat/>
    <w:rsid w:val="00244B44"/>
    <w:pPr>
      <w:numPr>
        <w:numId w:val="1"/>
      </w:numPr>
      <w:tabs>
        <w:tab w:val="num" w:pos="360"/>
      </w:tabs>
      <w:spacing w:after="0" w:line="240" w:lineRule="auto"/>
      <w:ind w:left="720" w:firstLine="0"/>
    </w:pPr>
    <w:rPr>
      <w:rFonts w:ascii="Times New Roman" w:hAnsi="Times New Roman" w:cs="Times New Roman"/>
      <w:sz w:val="24"/>
      <w:szCs w:val="24"/>
    </w:rPr>
  </w:style>
  <w:style w:type="paragraph" w:customStyle="1" w:styleId="BODY">
    <w:name w:val="BODY"/>
    <w:basedOn w:val="Normal"/>
    <w:uiPriority w:val="99"/>
    <w:qFormat/>
    <w:rsid w:val="00244B44"/>
    <w:pPr>
      <w:spacing w:before="240" w:after="240" w:line="240" w:lineRule="auto"/>
    </w:pPr>
    <w:rPr>
      <w:rFonts w:ascii="Times New Roman" w:hAnsi="Times New Roman" w:cs="Times New Roman"/>
      <w:sz w:val="24"/>
      <w:szCs w:val="24"/>
    </w:rPr>
  </w:style>
  <w:style w:type="paragraph" w:customStyle="1" w:styleId="NUMBEREDL2">
    <w:name w:val="NUMBERED L2"/>
    <w:basedOn w:val="ListParagraph"/>
    <w:uiPriority w:val="99"/>
    <w:qFormat/>
    <w:rsid w:val="00244B44"/>
    <w:pPr>
      <w:numPr>
        <w:ilvl w:val="1"/>
        <w:numId w:val="1"/>
      </w:numPr>
      <w:tabs>
        <w:tab w:val="num" w:pos="360"/>
      </w:tabs>
      <w:spacing w:after="120" w:line="240" w:lineRule="auto"/>
      <w:ind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244B44"/>
    <w:pPr>
      <w:ind w:left="720"/>
      <w:contextualSpacing/>
    </w:pPr>
  </w:style>
  <w:style w:type="character" w:styleId="Hyperlink">
    <w:name w:val="Hyperlink"/>
    <w:basedOn w:val="DefaultParagraphFont"/>
    <w:uiPriority w:val="99"/>
    <w:unhideWhenUsed/>
    <w:rsid w:val="00244B44"/>
    <w:rPr>
      <w:color w:val="4472C4" w:themeColor="accent1"/>
      <w:u w:val="single"/>
    </w:rPr>
  </w:style>
  <w:style w:type="paragraph" w:styleId="FootnoteText">
    <w:name w:val="footnote text"/>
    <w:basedOn w:val="Normal"/>
    <w:link w:val="FootnoteTextChar"/>
    <w:uiPriority w:val="99"/>
    <w:unhideWhenUsed/>
    <w:rsid w:val="00244B44"/>
    <w:pPr>
      <w:spacing w:after="0" w:line="240" w:lineRule="auto"/>
    </w:pPr>
    <w:rPr>
      <w:rFonts w:ascii="Times New Roman" w:hAnsi="Times New Roman"/>
      <w:sz w:val="18"/>
      <w:szCs w:val="20"/>
    </w:rPr>
  </w:style>
  <w:style w:type="character" w:customStyle="1" w:styleId="FootnoteTextChar">
    <w:name w:val="Footnote Text Char"/>
    <w:basedOn w:val="DefaultParagraphFont"/>
    <w:link w:val="FootnoteText"/>
    <w:uiPriority w:val="99"/>
    <w:rsid w:val="00244B44"/>
    <w:rPr>
      <w:rFonts w:ascii="Times New Roman" w:hAnsi="Times New Roman"/>
      <w:sz w:val="18"/>
      <w:szCs w:val="20"/>
    </w:rPr>
  </w:style>
  <w:style w:type="character" w:styleId="FootnoteReference">
    <w:name w:val="footnote reference"/>
    <w:basedOn w:val="DefaultParagraphFont"/>
    <w:uiPriority w:val="99"/>
    <w:unhideWhenUsed/>
    <w:rsid w:val="00244B44"/>
    <w:rPr>
      <w:rFonts w:ascii="Arial" w:hAnsi="Arial"/>
      <w:sz w:val="18"/>
      <w:vertAlign w:val="superscript"/>
    </w:rPr>
  </w:style>
  <w:style w:type="paragraph" w:styleId="BalloonText">
    <w:name w:val="Balloon Text"/>
    <w:basedOn w:val="Normal"/>
    <w:link w:val="BalloonTextChar"/>
    <w:uiPriority w:val="99"/>
    <w:semiHidden/>
    <w:unhideWhenUsed/>
    <w:rsid w:val="00C53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FF"/>
    <w:rPr>
      <w:rFonts w:ascii="Segoe UI" w:hAnsi="Segoe UI" w:cs="Segoe UI"/>
      <w:sz w:val="18"/>
      <w:szCs w:val="18"/>
    </w:rPr>
  </w:style>
  <w:style w:type="paragraph" w:customStyle="1" w:styleId="TABLEText">
    <w:name w:val="TABLE Text"/>
    <w:basedOn w:val="BodyText"/>
    <w:link w:val="TABLETextChar"/>
    <w:uiPriority w:val="3"/>
    <w:qFormat/>
    <w:rsid w:val="008E6984"/>
    <w:pPr>
      <w:spacing w:after="0" w:line="240" w:lineRule="auto"/>
    </w:pPr>
    <w:rPr>
      <w:rFonts w:ascii="Calibri" w:hAnsi="Calibri" w:cs="Times New Roman"/>
      <w:color w:val="000000" w:themeColor="text1"/>
      <w:sz w:val="24"/>
      <w:szCs w:val="24"/>
    </w:rPr>
  </w:style>
  <w:style w:type="character" w:customStyle="1" w:styleId="TABLETextChar">
    <w:name w:val="TABLE Text Char"/>
    <w:basedOn w:val="DefaultParagraphFont"/>
    <w:link w:val="TABLEText"/>
    <w:uiPriority w:val="3"/>
    <w:rsid w:val="008E6984"/>
    <w:rPr>
      <w:rFonts w:ascii="Calibri" w:hAnsi="Calibri" w:cs="Times New Roman"/>
      <w:color w:val="000000" w:themeColor="text1"/>
      <w:sz w:val="24"/>
      <w:szCs w:val="24"/>
    </w:rPr>
  </w:style>
  <w:style w:type="paragraph" w:customStyle="1" w:styleId="TABLEColumnH1">
    <w:name w:val="TABLE Column H1"/>
    <w:basedOn w:val="Normal"/>
    <w:uiPriority w:val="99"/>
    <w:qFormat/>
    <w:rsid w:val="008E6984"/>
    <w:pPr>
      <w:spacing w:after="0" w:line="240" w:lineRule="auto"/>
      <w:jc w:val="center"/>
    </w:pPr>
    <w:rPr>
      <w:rFonts w:ascii="Calibri" w:hAnsi="Calibri" w:cs="Calibri"/>
      <w:b/>
      <w:color w:val="FFFFFF" w:themeColor="background1"/>
      <w:sz w:val="28"/>
      <w:szCs w:val="28"/>
    </w:rPr>
  </w:style>
  <w:style w:type="paragraph" w:customStyle="1" w:styleId="TABLEBulletL1">
    <w:name w:val="TABLE Bullet L1"/>
    <w:basedOn w:val="Normal"/>
    <w:uiPriority w:val="99"/>
    <w:qFormat/>
    <w:rsid w:val="008E6984"/>
    <w:pPr>
      <w:numPr>
        <w:numId w:val="5"/>
      </w:numPr>
      <w:spacing w:after="0" w:line="240" w:lineRule="auto"/>
      <w:ind w:left="202" w:hanging="202"/>
    </w:pPr>
    <w:rPr>
      <w:rFonts w:ascii="Calibri" w:hAnsi="Calibri" w:cs="Calibri"/>
      <w:sz w:val="24"/>
      <w:szCs w:val="24"/>
      <w:lang w:bidi="en-US"/>
    </w:rPr>
  </w:style>
  <w:style w:type="paragraph" w:customStyle="1" w:styleId="EXHIBITTitle">
    <w:name w:val="EXHIBIT Title"/>
    <w:basedOn w:val="Caption"/>
    <w:uiPriority w:val="99"/>
    <w:qFormat/>
    <w:rsid w:val="008E6984"/>
    <w:pPr>
      <w:keepNext/>
      <w:spacing w:before="240" w:after="120"/>
    </w:pPr>
    <w:rPr>
      <w:color w:val="4472C4" w:themeColor="accent1"/>
      <w:sz w:val="24"/>
      <w:szCs w:val="24"/>
    </w:rPr>
  </w:style>
  <w:style w:type="paragraph" w:styleId="BodyText">
    <w:name w:val="Body Text"/>
    <w:basedOn w:val="Normal"/>
    <w:link w:val="BodyTextChar"/>
    <w:uiPriority w:val="99"/>
    <w:semiHidden/>
    <w:unhideWhenUsed/>
    <w:rsid w:val="008E6984"/>
    <w:pPr>
      <w:spacing w:after="120"/>
    </w:pPr>
  </w:style>
  <w:style w:type="character" w:customStyle="1" w:styleId="BodyTextChar">
    <w:name w:val="Body Text Char"/>
    <w:basedOn w:val="DefaultParagraphFont"/>
    <w:link w:val="BodyText"/>
    <w:uiPriority w:val="99"/>
    <w:semiHidden/>
    <w:rsid w:val="008E6984"/>
  </w:style>
  <w:style w:type="paragraph" w:styleId="Caption">
    <w:name w:val="caption"/>
    <w:basedOn w:val="Normal"/>
    <w:next w:val="Normal"/>
    <w:uiPriority w:val="35"/>
    <w:semiHidden/>
    <w:unhideWhenUsed/>
    <w:qFormat/>
    <w:rsid w:val="008E698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0049124114521148" TargetMode="External"/><Relationship Id="rId2" Type="http://schemas.openxmlformats.org/officeDocument/2006/relationships/hyperlink" Target="https://doi.org/10.1111/j.1467-985X.2012.01065.x" TargetMode="External"/><Relationship Id="rId1" Type="http://schemas.openxmlformats.org/officeDocument/2006/relationships/hyperlink" Target="http://www.amstat.org/Sections/Srms/Proceedings/y2009/Files/302933.pdf" TargetMode="External"/><Relationship Id="rId6" Type="http://schemas.openxmlformats.org/officeDocument/2006/relationships/hyperlink" Target="http://www.amstat.org/Sections/Srms/Proceedings/y2009/Files/302933.pdf" TargetMode="External"/><Relationship Id="rId5" Type="http://schemas.openxmlformats.org/officeDocument/2006/relationships/hyperlink" Target="https://doi.org/10.1111/j.1467-985X.2008.00565.x" TargetMode="External"/><Relationship Id="rId4" Type="http://schemas.openxmlformats.org/officeDocument/2006/relationships/hyperlink" Target="http://onlinelibrary.wiley.com/doi/10.1002/9781118596869.ch12/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Iachan, Ronaldo</dc:creator>
  <cp:keywords/>
  <dc:description/>
  <cp:lastModifiedBy>Iachan, Ronaldo</cp:lastModifiedBy>
  <cp:revision>5</cp:revision>
  <dcterms:created xsi:type="dcterms:W3CDTF">2020-08-12T13:39:00Z</dcterms:created>
  <dcterms:modified xsi:type="dcterms:W3CDTF">2020-08-13T10:26:00Z</dcterms:modified>
</cp:coreProperties>
</file>