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B58D4" w14:textId="26304454" w:rsidR="00D2104C" w:rsidRPr="00EE50FE" w:rsidRDefault="00D2104C" w:rsidP="00227239">
      <w:pPr>
        <w:rPr>
          <w:rFonts w:eastAsia="MS Mincho"/>
          <w:b/>
        </w:rPr>
      </w:pPr>
      <w:r w:rsidRPr="00EE50FE">
        <w:rPr>
          <w:rFonts w:eastAsia="MS Mincho"/>
          <w:b/>
        </w:rPr>
        <w:t xml:space="preserve">Using process data to study interviewer effects </w:t>
      </w:r>
      <w:r w:rsidR="0011263C" w:rsidRPr="00EE50FE">
        <w:rPr>
          <w:rFonts w:eastAsia="MS Mincho"/>
          <w:b/>
        </w:rPr>
        <w:t xml:space="preserve">on nonresponse </w:t>
      </w:r>
      <w:r w:rsidRPr="00EE50FE">
        <w:rPr>
          <w:rFonts w:eastAsia="MS Mincho"/>
          <w:b/>
        </w:rPr>
        <w:t>in the Consumer Expenditure Survey</w:t>
      </w:r>
      <w:r w:rsidR="00EE50FE" w:rsidRPr="00EE50FE">
        <w:rPr>
          <w:rFonts w:eastAsia="MS Mincho"/>
          <w:b/>
        </w:rPr>
        <w:t>.</w:t>
      </w:r>
    </w:p>
    <w:p w14:paraId="379968F9" w14:textId="77777777" w:rsidR="00C51535" w:rsidRPr="00C51535" w:rsidRDefault="00C51535" w:rsidP="00C51535">
      <w:pPr>
        <w:rPr>
          <w:rFonts w:eastAsia="MS Mincho"/>
          <w:lang w:val="en-US"/>
        </w:rPr>
      </w:pPr>
      <w:r w:rsidRPr="00C51535">
        <w:rPr>
          <w:rFonts w:eastAsia="MS Mincho"/>
          <w:b/>
          <w:bCs/>
          <w:lang w:val="en-US"/>
        </w:rPr>
        <w:t>John Dixon</w:t>
      </w:r>
      <w:r w:rsidRPr="00C51535">
        <w:rPr>
          <w:rFonts w:eastAsia="MS Mincho"/>
          <w:b/>
          <w:bCs/>
          <w:vertAlign w:val="superscript"/>
          <w:lang w:val="en-US"/>
        </w:rPr>
        <w:t>1</w:t>
      </w:r>
      <w:r w:rsidRPr="00C51535">
        <w:rPr>
          <w:rFonts w:eastAsia="MS Mincho"/>
          <w:b/>
          <w:bCs/>
        </w:rPr>
        <w:t>, Erica Yu</w:t>
      </w:r>
      <w:r w:rsidRPr="00C51535">
        <w:rPr>
          <w:rFonts w:eastAsia="MS Mincho"/>
          <w:b/>
          <w:bCs/>
          <w:vertAlign w:val="superscript"/>
        </w:rPr>
        <w:t>1</w:t>
      </w:r>
      <w:r w:rsidRPr="00C51535">
        <w:rPr>
          <w:rFonts w:eastAsia="MS Mincho"/>
          <w:b/>
          <w:bCs/>
        </w:rPr>
        <w:t>, and John Gloster</w:t>
      </w:r>
      <w:r w:rsidRPr="00C51535">
        <w:rPr>
          <w:rFonts w:eastAsia="MS Mincho"/>
          <w:b/>
          <w:bCs/>
          <w:vertAlign w:val="superscript"/>
        </w:rPr>
        <w:t>2</w:t>
      </w:r>
    </w:p>
    <w:p w14:paraId="3D0EEEF0" w14:textId="1FA3186F" w:rsidR="00C51535" w:rsidRPr="00C51535" w:rsidRDefault="00C51535" w:rsidP="00C51535">
      <w:pPr>
        <w:ind w:left="720"/>
        <w:rPr>
          <w:rFonts w:eastAsia="MS Mincho"/>
          <w:lang w:val="en-US"/>
        </w:rPr>
      </w:pPr>
      <w:r w:rsidRPr="00C51535">
        <w:rPr>
          <w:rFonts w:eastAsia="MS Mincho"/>
          <w:b/>
          <w:bCs/>
          <w:i/>
          <w:iCs/>
          <w:vertAlign w:val="superscript"/>
          <w:lang w:val="en-US"/>
        </w:rPr>
        <w:t>1</w:t>
      </w:r>
      <w:r w:rsidRPr="00C51535">
        <w:rPr>
          <w:rFonts w:eastAsia="MS Mincho"/>
          <w:b/>
          <w:bCs/>
          <w:i/>
          <w:iCs/>
          <w:lang w:val="en-US"/>
        </w:rPr>
        <w:t>U.S. Bureau of Labor Statistics</w:t>
      </w:r>
      <w:r w:rsidR="00B57E02">
        <w:rPr>
          <w:rFonts w:eastAsia="MS Mincho"/>
          <w:b/>
          <w:bCs/>
          <w:i/>
          <w:iCs/>
          <w:lang w:val="en-US"/>
        </w:rPr>
        <w:t xml:space="preserve">, </w:t>
      </w:r>
      <w:r w:rsidRPr="00C51535">
        <w:rPr>
          <w:rFonts w:eastAsia="MS Mincho"/>
          <w:b/>
          <w:bCs/>
          <w:i/>
          <w:iCs/>
          <w:vertAlign w:val="superscript"/>
          <w:lang w:val="en-US"/>
        </w:rPr>
        <w:t>2</w:t>
      </w:r>
      <w:r w:rsidRPr="00C51535">
        <w:rPr>
          <w:rFonts w:eastAsia="MS Mincho"/>
          <w:b/>
          <w:bCs/>
          <w:i/>
          <w:iCs/>
          <w:lang w:val="en-US"/>
        </w:rPr>
        <w:t>U.S. Census Bureau</w:t>
      </w:r>
    </w:p>
    <w:p w14:paraId="46250A5B" w14:textId="77777777" w:rsidR="00DB1C5F" w:rsidRPr="00D2104C" w:rsidRDefault="00DB1C5F" w:rsidP="00227239">
      <w:pPr>
        <w:rPr>
          <w:rFonts w:eastAsia="MS Mincho"/>
        </w:rPr>
      </w:pPr>
    </w:p>
    <w:p w14:paraId="160B2498" w14:textId="77777777" w:rsidR="00227239" w:rsidRDefault="00227239" w:rsidP="00227239">
      <w:pPr>
        <w:rPr>
          <w:rFonts w:eastAsia="MS Mincho"/>
          <w:b/>
        </w:rPr>
      </w:pPr>
      <w:r>
        <w:rPr>
          <w:rFonts w:eastAsia="MS Mincho"/>
          <w:b/>
        </w:rPr>
        <w:t>Abstract</w:t>
      </w:r>
    </w:p>
    <w:p w14:paraId="22E10D27" w14:textId="220A974F" w:rsidR="00EE50FE" w:rsidRPr="002A3D0B" w:rsidRDefault="00230C45" w:rsidP="00227239">
      <w:pPr>
        <w:rPr>
          <w:rFonts w:eastAsia="MS Mincho"/>
        </w:rPr>
      </w:pPr>
      <w:r>
        <w:rPr>
          <w:rFonts w:eastAsia="MS Mincho"/>
        </w:rPr>
        <w:t xml:space="preserve">This study </w:t>
      </w:r>
      <w:r w:rsidR="00291384">
        <w:rPr>
          <w:rFonts w:eastAsia="MS Mincho"/>
        </w:rPr>
        <w:t>estimate</w:t>
      </w:r>
      <w:r w:rsidR="001B08FC">
        <w:rPr>
          <w:rFonts w:eastAsia="MS Mincho"/>
        </w:rPr>
        <w:t>s</w:t>
      </w:r>
      <w:r>
        <w:rPr>
          <w:rFonts w:eastAsia="MS Mincho"/>
        </w:rPr>
        <w:t xml:space="preserve"> interviewer effects on </w:t>
      </w:r>
      <w:r w:rsidR="00DA4CFC">
        <w:rPr>
          <w:rFonts w:eastAsia="MS Mincho"/>
        </w:rPr>
        <w:t xml:space="preserve">nonresponse in </w:t>
      </w:r>
      <w:r>
        <w:rPr>
          <w:rFonts w:eastAsia="MS Mincho"/>
        </w:rPr>
        <w:t xml:space="preserve">the Consumer Expenditure Survey (CE).  </w:t>
      </w:r>
      <w:r w:rsidR="00EE50FE">
        <w:rPr>
          <w:rFonts w:eastAsia="MS Mincho"/>
        </w:rPr>
        <w:t>The</w:t>
      </w:r>
      <w:r w:rsidR="003F7B7C">
        <w:rPr>
          <w:rFonts w:eastAsia="MS Mincho"/>
        </w:rPr>
        <w:t xml:space="preserve"> </w:t>
      </w:r>
      <w:r w:rsidR="00DA4CFC">
        <w:rPr>
          <w:rFonts w:eastAsia="MS Mincho"/>
        </w:rPr>
        <w:t>study uses data</w:t>
      </w:r>
      <w:r w:rsidR="00FF5B5C">
        <w:rPr>
          <w:rFonts w:eastAsia="MS Mincho"/>
        </w:rPr>
        <w:t xml:space="preserve"> </w:t>
      </w:r>
      <w:r w:rsidR="00DA4CFC">
        <w:rPr>
          <w:rFonts w:eastAsia="MS Mincho"/>
        </w:rPr>
        <w:t xml:space="preserve">collected during </w:t>
      </w:r>
      <w:r w:rsidR="00FF5B5C">
        <w:rPr>
          <w:rFonts w:eastAsia="MS Mincho"/>
        </w:rPr>
        <w:t>the CE interview process through</w:t>
      </w:r>
      <w:r w:rsidR="00EE50FE">
        <w:rPr>
          <w:rFonts w:eastAsia="MS Mincho"/>
        </w:rPr>
        <w:t xml:space="preserve"> </w:t>
      </w:r>
      <w:r w:rsidR="0020246D">
        <w:rPr>
          <w:rFonts w:eastAsia="MS Mincho"/>
        </w:rPr>
        <w:t>t</w:t>
      </w:r>
      <w:r w:rsidR="00840BAB">
        <w:rPr>
          <w:rFonts w:eastAsia="MS Mincho"/>
        </w:rPr>
        <w:t xml:space="preserve">he CAPI instrument </w:t>
      </w:r>
      <w:r w:rsidR="00FF5B5C">
        <w:rPr>
          <w:rFonts w:eastAsia="MS Mincho"/>
        </w:rPr>
        <w:t>software,</w:t>
      </w:r>
      <w:r w:rsidR="0020246D">
        <w:rPr>
          <w:rFonts w:eastAsia="MS Mincho"/>
        </w:rPr>
        <w:t xml:space="preserve"> which</w:t>
      </w:r>
      <w:r w:rsidR="00EE50FE">
        <w:rPr>
          <w:rFonts w:eastAsia="MS Mincho"/>
        </w:rPr>
        <w:t xml:space="preserve"> </w:t>
      </w:r>
      <w:r w:rsidR="00840BAB">
        <w:rPr>
          <w:rFonts w:eastAsia="MS Mincho"/>
        </w:rPr>
        <w:t xml:space="preserve">provides </w:t>
      </w:r>
      <w:r w:rsidR="00093D04">
        <w:rPr>
          <w:rFonts w:eastAsia="MS Mincho"/>
        </w:rPr>
        <w:t xml:space="preserve">interview </w:t>
      </w:r>
      <w:r w:rsidR="00EE50FE">
        <w:rPr>
          <w:rFonts w:eastAsia="MS Mincho"/>
        </w:rPr>
        <w:t>audit trails</w:t>
      </w:r>
      <w:r w:rsidR="00B57E02">
        <w:rPr>
          <w:rFonts w:eastAsia="MS Mincho"/>
        </w:rPr>
        <w:t>,</w:t>
      </w:r>
      <w:r w:rsidR="00EE50FE">
        <w:rPr>
          <w:rFonts w:eastAsia="MS Mincho"/>
        </w:rPr>
        <w:t xml:space="preserve"> and the Contact History Instrument</w:t>
      </w:r>
      <w:r w:rsidR="00F0002D">
        <w:rPr>
          <w:rFonts w:eastAsia="MS Mincho"/>
        </w:rPr>
        <w:t xml:space="preserve"> (CHI)</w:t>
      </w:r>
      <w:r w:rsidR="00FF5B5C">
        <w:rPr>
          <w:rFonts w:eastAsia="MS Mincho"/>
        </w:rPr>
        <w:t>,</w:t>
      </w:r>
      <w:r w:rsidR="0020246D">
        <w:rPr>
          <w:rFonts w:eastAsia="MS Mincho"/>
        </w:rPr>
        <w:t xml:space="preserve"> which</w:t>
      </w:r>
      <w:r w:rsidR="00840BAB">
        <w:rPr>
          <w:rFonts w:eastAsia="MS Mincho"/>
        </w:rPr>
        <w:t xml:space="preserve"> provides </w:t>
      </w:r>
      <w:r w:rsidR="00B57E02">
        <w:rPr>
          <w:rFonts w:eastAsia="MS Mincho"/>
        </w:rPr>
        <w:t xml:space="preserve">interviewer </w:t>
      </w:r>
      <w:r w:rsidR="00522A56">
        <w:rPr>
          <w:rFonts w:eastAsia="MS Mincho"/>
        </w:rPr>
        <w:t xml:space="preserve">contact </w:t>
      </w:r>
      <w:r w:rsidR="00B57E02">
        <w:rPr>
          <w:rFonts w:eastAsia="MS Mincho"/>
        </w:rPr>
        <w:t xml:space="preserve">attempts </w:t>
      </w:r>
      <w:r w:rsidR="00093D04">
        <w:rPr>
          <w:rFonts w:eastAsia="MS Mincho"/>
        </w:rPr>
        <w:t xml:space="preserve">and </w:t>
      </w:r>
      <w:r w:rsidR="00840BAB">
        <w:rPr>
          <w:rFonts w:eastAsia="MS Mincho"/>
        </w:rPr>
        <w:t>concerns expressed by respondents.</w:t>
      </w:r>
      <w:r w:rsidR="00EE50FE">
        <w:rPr>
          <w:rFonts w:eastAsia="MS Mincho"/>
        </w:rPr>
        <w:t xml:space="preserve"> </w:t>
      </w:r>
      <w:r w:rsidR="00FF5B5C">
        <w:rPr>
          <w:rFonts w:eastAsia="MS Mincho"/>
        </w:rPr>
        <w:t xml:space="preserve"> </w:t>
      </w:r>
      <w:r w:rsidR="00EE50FE">
        <w:rPr>
          <w:rFonts w:eastAsia="MS Mincho"/>
        </w:rPr>
        <w:t xml:space="preserve">Multilevel models are used to investigate the relationship between </w:t>
      </w:r>
      <w:r w:rsidR="00B57E02">
        <w:rPr>
          <w:rFonts w:eastAsia="MS Mincho"/>
        </w:rPr>
        <w:t xml:space="preserve">interview </w:t>
      </w:r>
      <w:r w:rsidR="00522A56">
        <w:rPr>
          <w:rFonts w:eastAsia="MS Mincho"/>
        </w:rPr>
        <w:t>processes (e.g., length of interview, mode of collection)</w:t>
      </w:r>
      <w:r w:rsidR="00EE50FE">
        <w:rPr>
          <w:rFonts w:eastAsia="MS Mincho"/>
        </w:rPr>
        <w:t>, and interviewer characteristics (e.g.</w:t>
      </w:r>
      <w:r w:rsidR="00093D04">
        <w:rPr>
          <w:rFonts w:eastAsia="MS Mincho"/>
        </w:rPr>
        <w:t>,</w:t>
      </w:r>
      <w:r w:rsidR="00EE50FE">
        <w:rPr>
          <w:rFonts w:eastAsia="MS Mincho"/>
        </w:rPr>
        <w:t xml:space="preserve"> </w:t>
      </w:r>
      <w:r w:rsidR="00A302D9">
        <w:rPr>
          <w:rFonts w:eastAsia="MS Mincho"/>
        </w:rPr>
        <w:t>work</w:t>
      </w:r>
      <w:r w:rsidR="00B57E02">
        <w:rPr>
          <w:rFonts w:eastAsia="MS Mincho"/>
        </w:rPr>
        <w:t>load</w:t>
      </w:r>
      <w:r w:rsidR="00EE50FE">
        <w:rPr>
          <w:rFonts w:eastAsia="MS Mincho"/>
        </w:rPr>
        <w:t>) with nonresponse.</w:t>
      </w:r>
      <w:r w:rsidR="004531B6">
        <w:rPr>
          <w:rFonts w:eastAsia="MS Mincho"/>
        </w:rPr>
        <w:t xml:space="preserve"> </w:t>
      </w:r>
    </w:p>
    <w:p w14:paraId="70570283" w14:textId="4B9C0640" w:rsidR="00757C76" w:rsidRDefault="00757C76" w:rsidP="00757C76">
      <w:pPr>
        <w:rPr>
          <w:rFonts w:eastAsia="MS Mincho"/>
          <w:b/>
        </w:rPr>
      </w:pPr>
      <w:r>
        <w:rPr>
          <w:b/>
        </w:rPr>
        <w:t>Key</w:t>
      </w:r>
      <w:r>
        <w:t xml:space="preserve"> </w:t>
      </w:r>
      <w:r>
        <w:rPr>
          <w:rFonts w:eastAsia="MS Mincho"/>
          <w:b/>
        </w:rPr>
        <w:t xml:space="preserve">Words: </w:t>
      </w:r>
      <w:r>
        <w:rPr>
          <w:rStyle w:val="BodyCopyChar"/>
        </w:rPr>
        <w:t xml:space="preserve">paradata, </w:t>
      </w:r>
      <w:r w:rsidR="00B12AAC">
        <w:rPr>
          <w:rStyle w:val="BodyCopyChar"/>
        </w:rPr>
        <w:t>survey quality, multi</w:t>
      </w:r>
      <w:r w:rsidR="00292247">
        <w:rPr>
          <w:rStyle w:val="BodyCopyChar"/>
        </w:rPr>
        <w:t>level model</w:t>
      </w:r>
      <w:r w:rsidR="00E3320E">
        <w:rPr>
          <w:rStyle w:val="BodyCopyChar"/>
        </w:rPr>
        <w:t>.</w:t>
      </w:r>
    </w:p>
    <w:p w14:paraId="3134A621" w14:textId="77777777" w:rsidR="00B33F0F" w:rsidRDefault="00B33F0F" w:rsidP="00B33F0F">
      <w:pPr>
        <w:rPr>
          <w:rFonts w:eastAsia="MS Mincho"/>
          <w:b/>
        </w:rPr>
      </w:pPr>
    </w:p>
    <w:p w14:paraId="5189DEC9" w14:textId="678E9990" w:rsidR="00B33F0F" w:rsidRDefault="00B33F0F" w:rsidP="00B33F0F">
      <w:pPr>
        <w:rPr>
          <w:rFonts w:eastAsia="MS Mincho"/>
          <w:b/>
        </w:rPr>
      </w:pPr>
      <w:r>
        <w:rPr>
          <w:rFonts w:eastAsia="MS Mincho"/>
          <w:b/>
        </w:rPr>
        <w:t>Introduction</w:t>
      </w:r>
    </w:p>
    <w:p w14:paraId="054BBFE3" w14:textId="28670181" w:rsidR="00545102" w:rsidRDefault="00545102" w:rsidP="00545102">
      <w:pPr>
        <w:autoSpaceDE w:val="0"/>
        <w:autoSpaceDN w:val="0"/>
        <w:adjustRightInd w:val="0"/>
        <w:rPr>
          <w:rFonts w:eastAsiaTheme="minorHAnsi"/>
          <w:bCs/>
          <w:lang w:val="en-US"/>
        </w:rPr>
      </w:pPr>
      <w:r w:rsidRPr="00C51535">
        <w:rPr>
          <w:rFonts w:eastAsiaTheme="minorHAnsi"/>
          <w:bCs/>
          <w:lang w:val="en-US"/>
        </w:rPr>
        <w:t xml:space="preserve">Interviewer characteristics and </w:t>
      </w:r>
      <w:r w:rsidR="00B57E02">
        <w:rPr>
          <w:rFonts w:eastAsiaTheme="minorHAnsi"/>
          <w:bCs/>
          <w:lang w:val="en-US"/>
        </w:rPr>
        <w:t>interview</w:t>
      </w:r>
      <w:r w:rsidR="00B57E02" w:rsidRPr="00C51535">
        <w:rPr>
          <w:rFonts w:eastAsiaTheme="minorHAnsi"/>
          <w:bCs/>
          <w:lang w:val="en-US"/>
        </w:rPr>
        <w:t xml:space="preserve"> </w:t>
      </w:r>
      <w:r w:rsidRPr="00C51535">
        <w:rPr>
          <w:rFonts w:eastAsiaTheme="minorHAnsi"/>
          <w:bCs/>
          <w:lang w:val="en-US"/>
        </w:rPr>
        <w:t xml:space="preserve">processes are commonly thought to impact response rates.  </w:t>
      </w:r>
      <w:r w:rsidR="00780C10">
        <w:rPr>
          <w:rFonts w:eastAsiaTheme="minorHAnsi"/>
          <w:bCs/>
          <w:lang w:val="en-US"/>
        </w:rPr>
        <w:t xml:space="preserve">For example, </w:t>
      </w:r>
      <w:r w:rsidRPr="00C51535">
        <w:rPr>
          <w:rFonts w:eastAsiaTheme="minorHAnsi"/>
          <w:bCs/>
          <w:lang w:val="en-US"/>
        </w:rPr>
        <w:t>large</w:t>
      </w:r>
      <w:r w:rsidR="00A302D9">
        <w:rPr>
          <w:rFonts w:eastAsiaTheme="minorHAnsi"/>
          <w:bCs/>
          <w:lang w:val="en-US"/>
        </w:rPr>
        <w:t>r</w:t>
      </w:r>
      <w:r w:rsidRPr="00C51535">
        <w:rPr>
          <w:rFonts w:eastAsiaTheme="minorHAnsi"/>
          <w:bCs/>
          <w:lang w:val="en-US"/>
        </w:rPr>
        <w:t xml:space="preserve"> interviewer workloads can reduce the ability of interviewers to make callbac</w:t>
      </w:r>
      <w:r w:rsidR="003C4B0C">
        <w:rPr>
          <w:rFonts w:eastAsiaTheme="minorHAnsi"/>
          <w:bCs/>
          <w:lang w:val="en-US"/>
        </w:rPr>
        <w:t>ks (Botman and Thornberry 1992)</w:t>
      </w:r>
      <w:r w:rsidRPr="00C51535">
        <w:rPr>
          <w:rFonts w:eastAsiaTheme="minorHAnsi"/>
          <w:bCs/>
          <w:lang w:val="en-US"/>
        </w:rPr>
        <w:t>.</w:t>
      </w:r>
      <w:r w:rsidR="003C4B0C">
        <w:rPr>
          <w:rFonts w:eastAsiaTheme="minorHAnsi"/>
          <w:bCs/>
          <w:lang w:val="en-US"/>
        </w:rPr>
        <w:t xml:space="preserve">  </w:t>
      </w:r>
      <w:r w:rsidRPr="00C51535">
        <w:rPr>
          <w:rFonts w:eastAsiaTheme="minorHAnsi"/>
          <w:bCs/>
          <w:lang w:val="en-US"/>
        </w:rPr>
        <w:t>Jackle and colleagues</w:t>
      </w:r>
      <w:r w:rsidR="00F37C31">
        <w:rPr>
          <w:rFonts w:eastAsiaTheme="minorHAnsi"/>
          <w:bCs/>
          <w:lang w:val="en-US"/>
        </w:rPr>
        <w:t xml:space="preserve"> </w:t>
      </w:r>
      <w:r w:rsidR="00F37C31" w:rsidRPr="008E38BA">
        <w:rPr>
          <w:rFonts w:eastAsiaTheme="minorHAnsi"/>
          <w:bCs/>
          <w:lang w:val="en-US"/>
        </w:rPr>
        <w:t>(2013)</w:t>
      </w:r>
      <w:r w:rsidRPr="00C51535">
        <w:rPr>
          <w:rFonts w:eastAsiaTheme="minorHAnsi"/>
          <w:bCs/>
          <w:lang w:val="en-US"/>
        </w:rPr>
        <w:t xml:space="preserve"> found that interviewer experience was related to higher interview rates over a number of European surveys.  Groves and Couper (1998) described the potential for interviewer characteristics and the survey collection environment </w:t>
      </w:r>
      <w:r w:rsidR="00C96996">
        <w:rPr>
          <w:rFonts w:eastAsiaTheme="minorHAnsi"/>
          <w:bCs/>
          <w:lang w:val="en-US"/>
        </w:rPr>
        <w:t>to impact</w:t>
      </w:r>
      <w:r w:rsidR="00C96996" w:rsidRPr="00C51535">
        <w:rPr>
          <w:rFonts w:eastAsiaTheme="minorHAnsi"/>
          <w:bCs/>
          <w:lang w:val="en-US"/>
        </w:rPr>
        <w:t xml:space="preserve"> </w:t>
      </w:r>
      <w:r w:rsidRPr="00C51535">
        <w:rPr>
          <w:rFonts w:eastAsiaTheme="minorHAnsi"/>
          <w:bCs/>
          <w:lang w:val="en-US"/>
        </w:rPr>
        <w:t>nonresponse.</w:t>
      </w:r>
      <w:r w:rsidR="003C4B0C">
        <w:rPr>
          <w:rFonts w:eastAsiaTheme="minorHAnsi"/>
          <w:bCs/>
          <w:lang w:val="en-US"/>
        </w:rPr>
        <w:t xml:space="preserve">  </w:t>
      </w:r>
      <w:r w:rsidR="00C96996">
        <w:rPr>
          <w:rFonts w:eastAsiaTheme="minorHAnsi"/>
          <w:bCs/>
          <w:lang w:val="en-US"/>
        </w:rPr>
        <w:t xml:space="preserve">For a review of the interviewer effects literature, see </w:t>
      </w:r>
      <w:r w:rsidR="001E2500">
        <w:rPr>
          <w:rFonts w:eastAsiaTheme="minorHAnsi"/>
          <w:bCs/>
          <w:lang w:val="en-US"/>
        </w:rPr>
        <w:t xml:space="preserve">West </w:t>
      </w:r>
      <w:r w:rsidR="00F77988">
        <w:rPr>
          <w:rFonts w:eastAsiaTheme="minorHAnsi"/>
          <w:bCs/>
          <w:lang w:val="en-US"/>
        </w:rPr>
        <w:t>and Blom (2017)</w:t>
      </w:r>
      <w:r w:rsidRPr="00C51535">
        <w:rPr>
          <w:rFonts w:eastAsiaTheme="minorHAnsi"/>
          <w:bCs/>
          <w:lang w:val="en-US"/>
        </w:rPr>
        <w:t>.</w:t>
      </w:r>
    </w:p>
    <w:p w14:paraId="6ABE5978" w14:textId="77777777" w:rsidR="00A302D9" w:rsidRPr="00C51535" w:rsidRDefault="00A302D9" w:rsidP="00545102">
      <w:pPr>
        <w:autoSpaceDE w:val="0"/>
        <w:autoSpaceDN w:val="0"/>
        <w:adjustRightInd w:val="0"/>
        <w:rPr>
          <w:rFonts w:eastAsiaTheme="minorHAnsi"/>
          <w:bCs/>
          <w:lang w:val="en-US"/>
        </w:rPr>
      </w:pPr>
    </w:p>
    <w:p w14:paraId="7A1E5950" w14:textId="36E79005" w:rsidR="00545102" w:rsidRPr="00C51535" w:rsidRDefault="00ED758C" w:rsidP="00461965">
      <w:pPr>
        <w:autoSpaceDE w:val="0"/>
        <w:autoSpaceDN w:val="0"/>
        <w:adjustRightInd w:val="0"/>
        <w:rPr>
          <w:rFonts w:eastAsiaTheme="minorHAnsi"/>
          <w:bCs/>
          <w:lang w:val="en-US"/>
        </w:rPr>
      </w:pPr>
      <w:r>
        <w:rPr>
          <w:rFonts w:eastAsiaTheme="minorHAnsi"/>
          <w:bCs/>
          <w:lang w:val="en-US"/>
        </w:rPr>
        <w:t>M</w:t>
      </w:r>
      <w:r w:rsidR="00BB069E">
        <w:rPr>
          <w:rFonts w:eastAsiaTheme="minorHAnsi"/>
          <w:bCs/>
          <w:lang w:val="en-US"/>
        </w:rPr>
        <w:t xml:space="preserve">easures of </w:t>
      </w:r>
      <w:r w:rsidR="00A302D9">
        <w:rPr>
          <w:rFonts w:eastAsiaTheme="minorHAnsi"/>
          <w:bCs/>
          <w:lang w:val="en-US"/>
        </w:rPr>
        <w:t xml:space="preserve">interview process characteristics and </w:t>
      </w:r>
      <w:r w:rsidR="00BB069E">
        <w:rPr>
          <w:rFonts w:eastAsiaTheme="minorHAnsi"/>
          <w:bCs/>
          <w:lang w:val="en-US"/>
        </w:rPr>
        <w:t xml:space="preserve">interviewer </w:t>
      </w:r>
      <w:r w:rsidR="00D250A3">
        <w:rPr>
          <w:rFonts w:eastAsiaTheme="minorHAnsi"/>
          <w:bCs/>
          <w:lang w:val="en-US"/>
        </w:rPr>
        <w:t>characteristic</w:t>
      </w:r>
      <w:r w:rsidR="00A302D9">
        <w:rPr>
          <w:rFonts w:eastAsiaTheme="minorHAnsi"/>
          <w:bCs/>
          <w:lang w:val="en-US"/>
        </w:rPr>
        <w:t xml:space="preserve">s </w:t>
      </w:r>
      <w:r w:rsidR="00003D12">
        <w:rPr>
          <w:rFonts w:eastAsiaTheme="minorHAnsi"/>
          <w:bCs/>
          <w:lang w:val="en-US"/>
        </w:rPr>
        <w:t xml:space="preserve">included in this study and their hypothesized relationship to </w:t>
      </w:r>
      <w:r w:rsidR="00BB069E">
        <w:rPr>
          <w:rFonts w:eastAsiaTheme="minorHAnsi"/>
          <w:bCs/>
          <w:lang w:val="en-US"/>
        </w:rPr>
        <w:t>nonresponse</w:t>
      </w:r>
      <w:r>
        <w:rPr>
          <w:rFonts w:eastAsiaTheme="minorHAnsi"/>
          <w:bCs/>
          <w:lang w:val="en-US"/>
        </w:rPr>
        <w:t xml:space="preserve"> are</w:t>
      </w:r>
      <w:r w:rsidR="00BB069E">
        <w:rPr>
          <w:rFonts w:eastAsiaTheme="minorHAnsi"/>
          <w:bCs/>
          <w:lang w:val="en-US"/>
        </w:rPr>
        <w:t>:</w:t>
      </w:r>
    </w:p>
    <w:p w14:paraId="2F09E11F" w14:textId="1361549F" w:rsidR="00A302D9" w:rsidRPr="00D55B1A" w:rsidRDefault="00A302D9" w:rsidP="00D55B1A">
      <w:pPr>
        <w:autoSpaceDE w:val="0"/>
        <w:autoSpaceDN w:val="0"/>
        <w:adjustRightInd w:val="0"/>
        <w:rPr>
          <w:rFonts w:eastAsiaTheme="minorHAnsi"/>
          <w:bCs/>
          <w:i/>
          <w:lang w:val="en-US"/>
        </w:rPr>
      </w:pPr>
      <w:r>
        <w:rPr>
          <w:rFonts w:eastAsiaTheme="minorHAnsi"/>
          <w:bCs/>
          <w:lang w:val="en-US"/>
        </w:rPr>
        <w:tab/>
      </w:r>
      <w:r>
        <w:rPr>
          <w:rFonts w:eastAsiaTheme="minorHAnsi"/>
          <w:bCs/>
          <w:i/>
          <w:lang w:val="en-US"/>
        </w:rPr>
        <w:t>Interview process</w:t>
      </w:r>
      <w:r w:rsidRPr="00D55B1A">
        <w:rPr>
          <w:rFonts w:eastAsiaTheme="minorHAnsi"/>
          <w:bCs/>
          <w:i/>
          <w:lang w:val="en-US"/>
        </w:rPr>
        <w:t xml:space="preserve"> </w:t>
      </w:r>
      <w:r>
        <w:rPr>
          <w:rFonts w:eastAsiaTheme="minorHAnsi"/>
          <w:bCs/>
          <w:i/>
          <w:lang w:val="en-US"/>
        </w:rPr>
        <w:t>characteristics</w:t>
      </w:r>
    </w:p>
    <w:p w14:paraId="19C1AC81" w14:textId="77777777" w:rsidR="00CA1F5D" w:rsidRPr="00C51535" w:rsidRDefault="00CF3110" w:rsidP="00545102">
      <w:pPr>
        <w:numPr>
          <w:ilvl w:val="1"/>
          <w:numId w:val="1"/>
        </w:numPr>
        <w:autoSpaceDE w:val="0"/>
        <w:autoSpaceDN w:val="0"/>
        <w:adjustRightInd w:val="0"/>
        <w:rPr>
          <w:rFonts w:eastAsiaTheme="minorHAnsi"/>
          <w:bCs/>
          <w:lang w:val="en-US"/>
        </w:rPr>
      </w:pPr>
      <w:r w:rsidRPr="00C51535">
        <w:rPr>
          <w:rFonts w:eastAsiaTheme="minorHAnsi"/>
          <w:bCs/>
          <w:lang w:val="en-US"/>
        </w:rPr>
        <w:t>Number of contacts; with more difficulty contacting a household the less time is available to persuade them.</w:t>
      </w:r>
    </w:p>
    <w:p w14:paraId="063C5C28" w14:textId="77777777" w:rsidR="00D55B1A" w:rsidRPr="00D55B1A" w:rsidRDefault="00CF3110" w:rsidP="00D55B1A">
      <w:pPr>
        <w:numPr>
          <w:ilvl w:val="1"/>
          <w:numId w:val="1"/>
        </w:numPr>
        <w:autoSpaceDE w:val="0"/>
        <w:autoSpaceDN w:val="0"/>
        <w:adjustRightInd w:val="0"/>
        <w:rPr>
          <w:rFonts w:eastAsiaTheme="minorHAnsi"/>
          <w:bCs/>
          <w:i/>
          <w:lang w:val="en-US"/>
        </w:rPr>
      </w:pPr>
      <w:r w:rsidRPr="00D55B1A">
        <w:rPr>
          <w:rFonts w:eastAsiaTheme="minorHAnsi"/>
          <w:bCs/>
          <w:lang w:val="en-US"/>
        </w:rPr>
        <w:t xml:space="preserve">Date of first attempted contact;  Attempted contacts later in the interview period allows less time for making contact, scheduling an interview, and persuasion. </w:t>
      </w:r>
    </w:p>
    <w:p w14:paraId="5CFE219B" w14:textId="3857A4C3" w:rsidR="00D55B1A" w:rsidRPr="00D55B1A" w:rsidRDefault="00B12AAC" w:rsidP="00D55B1A">
      <w:pPr>
        <w:numPr>
          <w:ilvl w:val="1"/>
          <w:numId w:val="1"/>
        </w:numPr>
        <w:autoSpaceDE w:val="0"/>
        <w:autoSpaceDN w:val="0"/>
        <w:adjustRightInd w:val="0"/>
        <w:rPr>
          <w:rFonts w:eastAsiaTheme="minorHAnsi"/>
          <w:bCs/>
          <w:i/>
          <w:lang w:val="en-US"/>
        </w:rPr>
      </w:pPr>
      <w:r>
        <w:rPr>
          <w:rFonts w:eastAsiaTheme="minorHAnsi"/>
          <w:bCs/>
          <w:lang w:val="en-US"/>
        </w:rPr>
        <w:t xml:space="preserve">Length of interview; </w:t>
      </w:r>
      <w:r w:rsidR="00CF3110" w:rsidRPr="00D55B1A">
        <w:rPr>
          <w:rFonts w:eastAsiaTheme="minorHAnsi"/>
          <w:bCs/>
          <w:lang w:val="en-US"/>
        </w:rPr>
        <w:t>Many long interviews leave less time for the remaining interviews.</w:t>
      </w:r>
      <w:r w:rsidR="00585CBB" w:rsidRPr="00585CBB">
        <w:rPr>
          <w:rFonts w:eastAsiaTheme="minorHAnsi"/>
          <w:bCs/>
          <w:lang w:val="en-US"/>
        </w:rPr>
        <w:t xml:space="preserve"> </w:t>
      </w:r>
      <w:r w:rsidR="00585CBB" w:rsidRPr="00B33F0F">
        <w:rPr>
          <w:rFonts w:eastAsiaTheme="minorHAnsi"/>
          <w:bCs/>
          <w:lang w:val="en-US"/>
        </w:rPr>
        <w:t>The lore is that long interviews are tiring for interviewe</w:t>
      </w:r>
      <w:r w:rsidR="00585CBB">
        <w:rPr>
          <w:rFonts w:eastAsiaTheme="minorHAnsi"/>
          <w:bCs/>
          <w:lang w:val="en-US"/>
        </w:rPr>
        <w:t xml:space="preserve">rs, which might reduce the time or </w:t>
      </w:r>
      <w:r w:rsidR="00585CBB" w:rsidRPr="00B33F0F">
        <w:rPr>
          <w:rFonts w:eastAsiaTheme="minorHAnsi"/>
          <w:bCs/>
          <w:lang w:val="en-US"/>
        </w:rPr>
        <w:t xml:space="preserve">enthusiasm to complete their interview schedule.  </w:t>
      </w:r>
    </w:p>
    <w:p w14:paraId="139A8FF2" w14:textId="1C5C1A71" w:rsidR="00A302D9" w:rsidRPr="00D55B1A" w:rsidRDefault="00A302D9" w:rsidP="00D55B1A">
      <w:pPr>
        <w:autoSpaceDE w:val="0"/>
        <w:autoSpaceDN w:val="0"/>
        <w:adjustRightInd w:val="0"/>
        <w:ind w:firstLine="720"/>
        <w:rPr>
          <w:rFonts w:eastAsiaTheme="minorHAnsi"/>
          <w:bCs/>
          <w:i/>
          <w:lang w:val="en-US"/>
        </w:rPr>
      </w:pPr>
      <w:r w:rsidRPr="00D55B1A">
        <w:rPr>
          <w:rFonts w:eastAsiaTheme="minorHAnsi"/>
          <w:bCs/>
          <w:i/>
          <w:lang w:val="en-US"/>
        </w:rPr>
        <w:t>Interviewer characteristics</w:t>
      </w:r>
    </w:p>
    <w:p w14:paraId="0F665B27" w14:textId="06A25154" w:rsidR="00CA1F5D" w:rsidRPr="00C51535" w:rsidRDefault="00CD5209" w:rsidP="00545102">
      <w:pPr>
        <w:numPr>
          <w:ilvl w:val="1"/>
          <w:numId w:val="1"/>
        </w:numPr>
        <w:autoSpaceDE w:val="0"/>
        <w:autoSpaceDN w:val="0"/>
        <w:adjustRightInd w:val="0"/>
        <w:rPr>
          <w:rFonts w:eastAsiaTheme="minorHAnsi"/>
          <w:bCs/>
          <w:lang w:val="en-US"/>
        </w:rPr>
      </w:pPr>
      <w:r>
        <w:rPr>
          <w:rFonts w:eastAsiaTheme="minorHAnsi"/>
          <w:bCs/>
          <w:lang w:val="en-US"/>
        </w:rPr>
        <w:t>High w</w:t>
      </w:r>
      <w:r w:rsidR="00CF3110" w:rsidRPr="00C51535">
        <w:rPr>
          <w:rFonts w:eastAsiaTheme="minorHAnsi"/>
          <w:bCs/>
          <w:lang w:val="en-US"/>
        </w:rPr>
        <w:t>orkload limits the amount of time an interviewer has to contact and convince a respondent to participate.</w:t>
      </w:r>
    </w:p>
    <w:p w14:paraId="64C3A1AF" w14:textId="494E3AEE" w:rsidR="00CA1F5D" w:rsidRPr="00C51535" w:rsidRDefault="00CF3110" w:rsidP="00545102">
      <w:pPr>
        <w:numPr>
          <w:ilvl w:val="1"/>
          <w:numId w:val="1"/>
        </w:numPr>
        <w:autoSpaceDE w:val="0"/>
        <w:autoSpaceDN w:val="0"/>
        <w:adjustRightInd w:val="0"/>
        <w:rPr>
          <w:rFonts w:eastAsiaTheme="minorHAnsi"/>
          <w:bCs/>
          <w:lang w:val="en-US"/>
        </w:rPr>
      </w:pPr>
      <w:r w:rsidRPr="00C51535">
        <w:rPr>
          <w:rFonts w:eastAsiaTheme="minorHAnsi"/>
          <w:bCs/>
          <w:lang w:val="en-US"/>
        </w:rPr>
        <w:t>Total survey</w:t>
      </w:r>
      <w:r w:rsidR="00275771">
        <w:rPr>
          <w:rFonts w:eastAsiaTheme="minorHAnsi"/>
          <w:bCs/>
          <w:lang w:val="en-US"/>
        </w:rPr>
        <w:t xml:space="preserve"> workload; </w:t>
      </w:r>
      <w:r w:rsidRPr="00C51535">
        <w:rPr>
          <w:rFonts w:eastAsiaTheme="minorHAnsi"/>
          <w:bCs/>
          <w:lang w:val="en-US"/>
        </w:rPr>
        <w:t>Working on other surveys can compete for time from the survey we are studying.</w:t>
      </w:r>
    </w:p>
    <w:p w14:paraId="401EB175" w14:textId="77777777" w:rsidR="00CA1F5D" w:rsidRPr="00C51535" w:rsidRDefault="00CF3110" w:rsidP="00545102">
      <w:pPr>
        <w:numPr>
          <w:ilvl w:val="1"/>
          <w:numId w:val="1"/>
        </w:numPr>
        <w:autoSpaceDE w:val="0"/>
        <w:autoSpaceDN w:val="0"/>
        <w:adjustRightInd w:val="0"/>
        <w:rPr>
          <w:rFonts w:eastAsiaTheme="minorHAnsi"/>
          <w:bCs/>
          <w:lang w:val="en-US"/>
        </w:rPr>
      </w:pPr>
      <w:r w:rsidRPr="00C51535">
        <w:rPr>
          <w:rFonts w:eastAsiaTheme="minorHAnsi"/>
          <w:bCs/>
          <w:lang w:val="en-US"/>
        </w:rPr>
        <w:t>Less experience may produce lower response rates.</w:t>
      </w:r>
    </w:p>
    <w:p w14:paraId="7218B810" w14:textId="77777777" w:rsidR="00545102" w:rsidRPr="00C51535" w:rsidRDefault="00545102" w:rsidP="00461965">
      <w:pPr>
        <w:autoSpaceDE w:val="0"/>
        <w:autoSpaceDN w:val="0"/>
        <w:adjustRightInd w:val="0"/>
        <w:rPr>
          <w:rFonts w:eastAsiaTheme="minorHAnsi"/>
          <w:bCs/>
          <w:lang w:val="en-US"/>
        </w:rPr>
      </w:pPr>
    </w:p>
    <w:p w14:paraId="15454DEE" w14:textId="232DE7DE" w:rsidR="00545102" w:rsidRPr="00C51535" w:rsidRDefault="00BB069E" w:rsidP="00461965">
      <w:pPr>
        <w:autoSpaceDE w:val="0"/>
        <w:autoSpaceDN w:val="0"/>
        <w:adjustRightInd w:val="0"/>
        <w:rPr>
          <w:rFonts w:eastAsiaTheme="minorHAnsi"/>
          <w:bCs/>
          <w:lang w:val="en-US"/>
        </w:rPr>
      </w:pPr>
      <w:r w:rsidRPr="00BB069E">
        <w:rPr>
          <w:rFonts w:eastAsiaTheme="minorHAnsi"/>
          <w:b/>
          <w:bCs/>
        </w:rPr>
        <w:t>Sources of data</w:t>
      </w:r>
    </w:p>
    <w:p w14:paraId="5D971A81" w14:textId="3BA8B4F8" w:rsidR="004F6898" w:rsidRDefault="00382BCB" w:rsidP="004F6898">
      <w:pPr>
        <w:autoSpaceDE w:val="0"/>
        <w:autoSpaceDN w:val="0"/>
        <w:adjustRightInd w:val="0"/>
        <w:rPr>
          <w:rFonts w:eastAsiaTheme="minorHAnsi"/>
          <w:bCs/>
          <w:lang w:val="en-US"/>
        </w:rPr>
      </w:pPr>
      <w:r>
        <w:rPr>
          <w:rFonts w:eastAsiaTheme="minorHAnsi"/>
          <w:bCs/>
          <w:lang w:val="en-US"/>
        </w:rPr>
        <w:t xml:space="preserve">Interviewer characteristics came from administrative data </w:t>
      </w:r>
      <w:r w:rsidR="00C43792">
        <w:rPr>
          <w:rFonts w:eastAsiaTheme="minorHAnsi"/>
          <w:bCs/>
          <w:lang w:val="en-US"/>
        </w:rPr>
        <w:t xml:space="preserve">managed </w:t>
      </w:r>
      <w:r>
        <w:rPr>
          <w:rFonts w:eastAsiaTheme="minorHAnsi"/>
          <w:bCs/>
          <w:lang w:val="en-US"/>
        </w:rPr>
        <w:t>by the Census Bureau</w:t>
      </w:r>
      <w:r w:rsidR="00C43792">
        <w:rPr>
          <w:rFonts w:eastAsiaTheme="minorHAnsi"/>
          <w:bCs/>
          <w:lang w:val="en-US"/>
        </w:rPr>
        <w:t>, including</w:t>
      </w:r>
      <w:r w:rsidR="00545102" w:rsidRPr="00C51535">
        <w:rPr>
          <w:rFonts w:eastAsiaTheme="minorHAnsi"/>
          <w:bCs/>
          <w:lang w:val="en-US"/>
        </w:rPr>
        <w:t xml:space="preserve"> </w:t>
      </w:r>
      <w:r w:rsidR="00B12AAC">
        <w:rPr>
          <w:rFonts w:eastAsiaTheme="minorHAnsi"/>
          <w:bCs/>
          <w:lang w:val="en-US"/>
        </w:rPr>
        <w:t xml:space="preserve">the </w:t>
      </w:r>
      <w:r w:rsidR="00545102" w:rsidRPr="00C51535">
        <w:rPr>
          <w:rFonts w:eastAsiaTheme="minorHAnsi"/>
          <w:bCs/>
          <w:lang w:val="en-US"/>
        </w:rPr>
        <w:t>n</w:t>
      </w:r>
      <w:r w:rsidR="00BB069E">
        <w:rPr>
          <w:rFonts w:eastAsiaTheme="minorHAnsi"/>
          <w:bCs/>
          <w:lang w:val="en-US"/>
        </w:rPr>
        <w:t>umber of interviews that each interviewer</w:t>
      </w:r>
      <w:r w:rsidR="00545102" w:rsidRPr="00C51535">
        <w:rPr>
          <w:rFonts w:eastAsiaTheme="minorHAnsi"/>
          <w:bCs/>
          <w:lang w:val="en-US"/>
        </w:rPr>
        <w:t xml:space="preserve"> ad</w:t>
      </w:r>
      <w:r w:rsidR="00BB069E">
        <w:rPr>
          <w:rFonts w:eastAsiaTheme="minorHAnsi"/>
          <w:bCs/>
          <w:lang w:val="en-US"/>
        </w:rPr>
        <w:t>ministers</w:t>
      </w:r>
      <w:r w:rsidR="002129A7">
        <w:rPr>
          <w:rFonts w:eastAsiaTheme="minorHAnsi"/>
          <w:bCs/>
          <w:lang w:val="en-US"/>
        </w:rPr>
        <w:t xml:space="preserve"> and for how many other surveys that interviewer collected data</w:t>
      </w:r>
      <w:r w:rsidR="00BB069E">
        <w:rPr>
          <w:rFonts w:eastAsiaTheme="minorHAnsi"/>
          <w:bCs/>
          <w:lang w:val="en-US"/>
        </w:rPr>
        <w:t xml:space="preserve">.  </w:t>
      </w:r>
      <w:r w:rsidR="00545102" w:rsidRPr="00C51535">
        <w:rPr>
          <w:rFonts w:eastAsiaTheme="minorHAnsi"/>
          <w:bCs/>
          <w:lang w:val="en-US"/>
        </w:rPr>
        <w:t>The Contact History Instrument</w:t>
      </w:r>
      <w:r w:rsidR="00BB069E">
        <w:rPr>
          <w:rFonts w:eastAsiaTheme="minorHAnsi"/>
          <w:bCs/>
          <w:lang w:val="en-US"/>
        </w:rPr>
        <w:t xml:space="preserve"> (CHI</w:t>
      </w:r>
      <w:r w:rsidR="00A67705">
        <w:rPr>
          <w:rFonts w:eastAsiaTheme="minorHAnsi"/>
          <w:bCs/>
          <w:lang w:val="en-US"/>
        </w:rPr>
        <w:t>)</w:t>
      </w:r>
      <w:r w:rsidR="00545102" w:rsidRPr="00C51535">
        <w:rPr>
          <w:rFonts w:eastAsiaTheme="minorHAnsi"/>
          <w:bCs/>
          <w:lang w:val="en-US"/>
        </w:rPr>
        <w:t xml:space="preserve"> provides contact outcomes and respondent concerns</w:t>
      </w:r>
      <w:r w:rsidR="004F6898">
        <w:rPr>
          <w:rFonts w:eastAsiaTheme="minorHAnsi"/>
          <w:bCs/>
          <w:lang w:val="en-US"/>
        </w:rPr>
        <w:t xml:space="preserve"> for </w:t>
      </w:r>
      <w:r w:rsidR="004F6898" w:rsidRPr="00C51535">
        <w:rPr>
          <w:rFonts w:eastAsiaTheme="minorHAnsi"/>
          <w:bCs/>
          <w:lang w:val="en-US"/>
        </w:rPr>
        <w:t xml:space="preserve">each attempted contact.  The interviewers check all that apply.  While the consistency of use of the categories </w:t>
      </w:r>
      <w:r w:rsidR="004F6898">
        <w:rPr>
          <w:rFonts w:eastAsiaTheme="minorHAnsi"/>
          <w:bCs/>
          <w:lang w:val="en-US"/>
        </w:rPr>
        <w:t>may</w:t>
      </w:r>
      <w:r w:rsidR="004F6898" w:rsidRPr="00C51535">
        <w:rPr>
          <w:rFonts w:eastAsiaTheme="minorHAnsi"/>
          <w:bCs/>
          <w:lang w:val="en-US"/>
        </w:rPr>
        <w:t xml:space="preserve"> var</w:t>
      </w:r>
      <w:r w:rsidR="004F6898">
        <w:rPr>
          <w:rFonts w:eastAsiaTheme="minorHAnsi"/>
          <w:bCs/>
          <w:lang w:val="en-US"/>
        </w:rPr>
        <w:t>y</w:t>
      </w:r>
      <w:r w:rsidR="004F6898" w:rsidRPr="00C51535">
        <w:rPr>
          <w:rFonts w:eastAsiaTheme="minorHAnsi"/>
          <w:bCs/>
          <w:lang w:val="en-US"/>
        </w:rPr>
        <w:t xml:space="preserve"> between interviewers, it is our best window into the contacts leading up to a final out</w:t>
      </w:r>
      <w:r w:rsidR="004F6898">
        <w:rPr>
          <w:rFonts w:eastAsiaTheme="minorHAnsi"/>
          <w:bCs/>
          <w:lang w:val="en-US"/>
        </w:rPr>
        <w:t>come – response or nonresponse.</w:t>
      </w:r>
    </w:p>
    <w:p w14:paraId="091C51E1" w14:textId="5A4531EC" w:rsidR="00545102" w:rsidRDefault="00C43792" w:rsidP="00545102">
      <w:pPr>
        <w:autoSpaceDE w:val="0"/>
        <w:autoSpaceDN w:val="0"/>
        <w:adjustRightInd w:val="0"/>
        <w:rPr>
          <w:rFonts w:eastAsiaTheme="minorHAnsi"/>
          <w:bCs/>
          <w:lang w:val="en-US"/>
        </w:rPr>
      </w:pPr>
      <w:r>
        <w:rPr>
          <w:rFonts w:eastAsiaTheme="minorHAnsi"/>
          <w:bCs/>
          <w:lang w:val="en-US"/>
        </w:rPr>
        <w:t>Measures of item edits and changes, as proxies for measurement error, came from a</w:t>
      </w:r>
      <w:r w:rsidRPr="00C51535">
        <w:rPr>
          <w:rFonts w:eastAsiaTheme="minorHAnsi"/>
          <w:bCs/>
          <w:lang w:val="en-US"/>
        </w:rPr>
        <w:t xml:space="preserve">udit </w:t>
      </w:r>
      <w:r w:rsidR="00545102" w:rsidRPr="00C51535">
        <w:rPr>
          <w:rFonts w:eastAsiaTheme="minorHAnsi"/>
          <w:bCs/>
          <w:lang w:val="en-US"/>
        </w:rPr>
        <w:t>trails</w:t>
      </w:r>
      <w:r>
        <w:rPr>
          <w:rFonts w:eastAsiaTheme="minorHAnsi"/>
          <w:bCs/>
          <w:lang w:val="en-US"/>
        </w:rPr>
        <w:t xml:space="preserve"> generated by the CAPI instrument</w:t>
      </w:r>
      <w:r w:rsidR="00545102" w:rsidRPr="00C51535">
        <w:rPr>
          <w:rFonts w:eastAsiaTheme="minorHAnsi"/>
          <w:bCs/>
          <w:lang w:val="en-US"/>
        </w:rPr>
        <w:t>.</w:t>
      </w:r>
    </w:p>
    <w:p w14:paraId="2886B38B" w14:textId="52D61939" w:rsidR="00545102" w:rsidRPr="00C51535" w:rsidRDefault="00545102" w:rsidP="00461965">
      <w:pPr>
        <w:autoSpaceDE w:val="0"/>
        <w:autoSpaceDN w:val="0"/>
        <w:adjustRightInd w:val="0"/>
        <w:rPr>
          <w:rFonts w:eastAsiaTheme="minorHAnsi"/>
          <w:bCs/>
          <w:lang w:val="en-US"/>
        </w:rPr>
      </w:pPr>
      <w:r w:rsidRPr="00C51535">
        <w:rPr>
          <w:rFonts w:eastAsiaTheme="minorHAnsi"/>
          <w:bCs/>
          <w:lang w:val="en-US"/>
        </w:rPr>
        <w:t xml:space="preserve">The survey households are in the sample for </w:t>
      </w:r>
      <w:r w:rsidR="00B12AAC">
        <w:rPr>
          <w:rFonts w:eastAsiaTheme="minorHAnsi"/>
          <w:bCs/>
          <w:lang w:val="en-US"/>
        </w:rPr>
        <w:t>four</w:t>
      </w:r>
      <w:r w:rsidRPr="00C51535">
        <w:rPr>
          <w:rFonts w:eastAsiaTheme="minorHAnsi"/>
          <w:bCs/>
          <w:lang w:val="en-US"/>
        </w:rPr>
        <w:t xml:space="preserve"> quarters.  This study uses information from 2017, </w:t>
      </w:r>
      <w:r w:rsidR="004F6898">
        <w:rPr>
          <w:rFonts w:eastAsiaTheme="minorHAnsi"/>
          <w:bCs/>
          <w:lang w:val="en-US"/>
        </w:rPr>
        <w:t xml:space="preserve">for which </w:t>
      </w:r>
      <w:r w:rsidRPr="00C51535">
        <w:rPr>
          <w:rFonts w:eastAsiaTheme="minorHAnsi"/>
          <w:bCs/>
          <w:lang w:val="en-US"/>
        </w:rPr>
        <w:t>97</w:t>
      </w:r>
      <w:r w:rsidR="004F6898">
        <w:rPr>
          <w:rFonts w:eastAsiaTheme="minorHAnsi"/>
          <w:bCs/>
          <w:lang w:val="en-US"/>
        </w:rPr>
        <w:t>,</w:t>
      </w:r>
      <w:r w:rsidRPr="00C51535">
        <w:rPr>
          <w:rFonts w:eastAsiaTheme="minorHAnsi"/>
          <w:bCs/>
          <w:lang w:val="en-US"/>
        </w:rPr>
        <w:t xml:space="preserve">317 households were used for the analysis, with 617 interviewers.  Interviewers </w:t>
      </w:r>
      <w:r w:rsidR="004F6898">
        <w:rPr>
          <w:rFonts w:eastAsiaTheme="minorHAnsi"/>
          <w:bCs/>
          <w:lang w:val="en-US"/>
        </w:rPr>
        <w:t>who</w:t>
      </w:r>
      <w:r w:rsidR="004F6898" w:rsidRPr="00C51535">
        <w:rPr>
          <w:rFonts w:eastAsiaTheme="minorHAnsi"/>
          <w:bCs/>
          <w:lang w:val="en-US"/>
        </w:rPr>
        <w:t xml:space="preserve"> </w:t>
      </w:r>
      <w:r w:rsidR="00A33793">
        <w:rPr>
          <w:rFonts w:eastAsiaTheme="minorHAnsi"/>
          <w:bCs/>
          <w:lang w:val="en-US"/>
        </w:rPr>
        <w:t>were assigned</w:t>
      </w:r>
      <w:r w:rsidR="004F6898" w:rsidRPr="00C51535">
        <w:rPr>
          <w:rFonts w:eastAsiaTheme="minorHAnsi"/>
          <w:bCs/>
          <w:lang w:val="en-US"/>
        </w:rPr>
        <w:t xml:space="preserve"> </w:t>
      </w:r>
      <w:r w:rsidRPr="00C51535">
        <w:rPr>
          <w:rFonts w:eastAsiaTheme="minorHAnsi"/>
          <w:bCs/>
          <w:lang w:val="en-US"/>
        </w:rPr>
        <w:t xml:space="preserve">fewer than </w:t>
      </w:r>
      <w:r w:rsidR="00B12AAC">
        <w:rPr>
          <w:rFonts w:eastAsiaTheme="minorHAnsi"/>
          <w:bCs/>
          <w:lang w:val="en-US"/>
        </w:rPr>
        <w:t>five</w:t>
      </w:r>
      <w:r w:rsidRPr="00C51535">
        <w:rPr>
          <w:rFonts w:eastAsiaTheme="minorHAnsi"/>
          <w:bCs/>
          <w:lang w:val="en-US"/>
        </w:rPr>
        <w:t xml:space="preserve"> households or didn’t provide CHI data </w:t>
      </w:r>
      <w:r w:rsidR="00A33793">
        <w:rPr>
          <w:rFonts w:eastAsiaTheme="minorHAnsi"/>
          <w:bCs/>
          <w:lang w:val="en-US"/>
        </w:rPr>
        <w:t>for any</w:t>
      </w:r>
      <w:r w:rsidR="004F6898">
        <w:rPr>
          <w:rFonts w:eastAsiaTheme="minorHAnsi"/>
          <w:bCs/>
          <w:lang w:val="en-US"/>
        </w:rPr>
        <w:t xml:space="preserve"> contact attempt</w:t>
      </w:r>
      <w:r w:rsidR="00A33793">
        <w:rPr>
          <w:rFonts w:eastAsiaTheme="minorHAnsi"/>
          <w:bCs/>
          <w:lang w:val="en-US"/>
        </w:rPr>
        <w:t>s</w:t>
      </w:r>
      <w:r w:rsidR="004F6898">
        <w:rPr>
          <w:rFonts w:eastAsiaTheme="minorHAnsi"/>
          <w:bCs/>
          <w:lang w:val="en-US"/>
        </w:rPr>
        <w:t xml:space="preserve"> </w:t>
      </w:r>
      <w:r w:rsidRPr="00C51535">
        <w:rPr>
          <w:rFonts w:eastAsiaTheme="minorHAnsi"/>
          <w:bCs/>
          <w:lang w:val="en-US"/>
        </w:rPr>
        <w:t>were excluded.</w:t>
      </w:r>
    </w:p>
    <w:p w14:paraId="15196233" w14:textId="77777777" w:rsidR="009E64C8" w:rsidRDefault="009E64C8" w:rsidP="00545102">
      <w:pPr>
        <w:autoSpaceDE w:val="0"/>
        <w:autoSpaceDN w:val="0"/>
        <w:adjustRightInd w:val="0"/>
        <w:rPr>
          <w:rFonts w:eastAsiaTheme="minorHAnsi"/>
          <w:bCs/>
          <w:lang w:val="en-US"/>
        </w:rPr>
      </w:pPr>
    </w:p>
    <w:p w14:paraId="1AE1CA15" w14:textId="77777777" w:rsidR="00A33793" w:rsidRDefault="00A33793">
      <w:pPr>
        <w:spacing w:after="160" w:line="259" w:lineRule="auto"/>
        <w:rPr>
          <w:rFonts w:eastAsiaTheme="minorHAnsi"/>
          <w:b/>
          <w:bCs/>
        </w:rPr>
      </w:pPr>
      <w:r>
        <w:rPr>
          <w:rFonts w:eastAsiaTheme="minorHAnsi"/>
          <w:b/>
          <w:bCs/>
        </w:rPr>
        <w:br w:type="page"/>
      </w:r>
    </w:p>
    <w:p w14:paraId="09D90E2E" w14:textId="2E4B53FD" w:rsidR="009E64C8" w:rsidRDefault="009E64C8" w:rsidP="00823498">
      <w:pPr>
        <w:autoSpaceDE w:val="0"/>
        <w:autoSpaceDN w:val="0"/>
        <w:adjustRightInd w:val="0"/>
        <w:rPr>
          <w:rFonts w:eastAsiaTheme="minorHAnsi"/>
          <w:b/>
          <w:bCs/>
        </w:rPr>
      </w:pPr>
      <w:r>
        <w:rPr>
          <w:rFonts w:eastAsiaTheme="minorHAnsi"/>
          <w:b/>
          <w:bCs/>
        </w:rPr>
        <w:lastRenderedPageBreak/>
        <w:t>Results</w:t>
      </w:r>
    </w:p>
    <w:p w14:paraId="10DAF306" w14:textId="7E9DC216" w:rsidR="00823498" w:rsidRPr="00275771" w:rsidRDefault="00A33793" w:rsidP="00A33793">
      <w:pPr>
        <w:rPr>
          <w:rFonts w:eastAsiaTheme="minorHAnsi"/>
          <w:bCs/>
          <w:i/>
          <w:lang w:val="en-US"/>
        </w:rPr>
      </w:pPr>
      <w:r>
        <w:rPr>
          <w:rFonts w:eastAsiaTheme="minorHAnsi"/>
          <w:bCs/>
          <w:i/>
          <w:lang w:val="en-US"/>
        </w:rPr>
        <w:t>Concern</w:t>
      </w:r>
    </w:p>
    <w:p w14:paraId="4E39474C" w14:textId="62E5D747" w:rsidR="00823498" w:rsidRDefault="00855910" w:rsidP="00823498">
      <w:pPr>
        <w:rPr>
          <w:rFonts w:eastAsiaTheme="minorHAnsi"/>
          <w:bCs/>
          <w:lang w:val="en-US"/>
        </w:rPr>
      </w:pPr>
      <w:r>
        <w:rPr>
          <w:rFonts w:eastAsiaTheme="minorHAnsi"/>
          <w:bCs/>
          <w:lang w:val="en-US"/>
        </w:rPr>
        <w:t>T</w:t>
      </w:r>
      <w:r w:rsidRPr="00B33F0F">
        <w:rPr>
          <w:rFonts w:eastAsiaTheme="minorHAnsi"/>
          <w:bCs/>
          <w:lang w:val="en-US"/>
        </w:rPr>
        <w:t>he most common concern expressed by respondents was “</w:t>
      </w:r>
      <w:r>
        <w:rPr>
          <w:rFonts w:eastAsiaTheme="minorHAnsi"/>
          <w:bCs/>
          <w:lang w:val="en-US"/>
        </w:rPr>
        <w:t xml:space="preserve">too </w:t>
      </w:r>
      <w:r w:rsidRPr="00B33F0F">
        <w:rPr>
          <w:rFonts w:eastAsiaTheme="minorHAnsi"/>
          <w:bCs/>
          <w:lang w:val="en-US"/>
        </w:rPr>
        <w:t>busy”, followed by “schedul</w:t>
      </w:r>
      <w:r>
        <w:rPr>
          <w:rFonts w:eastAsiaTheme="minorHAnsi"/>
          <w:bCs/>
          <w:lang w:val="en-US"/>
        </w:rPr>
        <w:t>ing</w:t>
      </w:r>
      <w:r w:rsidRPr="00B33F0F">
        <w:rPr>
          <w:rFonts w:eastAsiaTheme="minorHAnsi"/>
          <w:bCs/>
          <w:lang w:val="en-US"/>
        </w:rPr>
        <w:t xml:space="preserve"> difficulties”, and “not interested</w:t>
      </w:r>
      <w:r>
        <w:rPr>
          <w:rFonts w:eastAsiaTheme="minorHAnsi"/>
          <w:bCs/>
          <w:lang w:val="en-US"/>
        </w:rPr>
        <w:t>/does not want to be bothered</w:t>
      </w:r>
      <w:r w:rsidRPr="00B33F0F">
        <w:rPr>
          <w:rFonts w:eastAsiaTheme="minorHAnsi"/>
          <w:bCs/>
          <w:lang w:val="en-US"/>
        </w:rPr>
        <w:t>”, which was also most predictive of a refusal outcome.  Other frequent concerns were “</w:t>
      </w:r>
      <w:r>
        <w:rPr>
          <w:rFonts w:eastAsiaTheme="minorHAnsi"/>
          <w:bCs/>
          <w:lang w:val="en-US"/>
        </w:rPr>
        <w:t>interview takes too much time</w:t>
      </w:r>
      <w:r w:rsidRPr="00B33F0F">
        <w:rPr>
          <w:rFonts w:eastAsiaTheme="minorHAnsi"/>
          <w:bCs/>
          <w:lang w:val="en-US"/>
        </w:rPr>
        <w:t xml:space="preserve">” and “privacy concerns”. </w:t>
      </w:r>
    </w:p>
    <w:p w14:paraId="0FBDDC13" w14:textId="77777777" w:rsidR="00855910" w:rsidRPr="00855910" w:rsidRDefault="00855910" w:rsidP="00823498">
      <w:pPr>
        <w:rPr>
          <w:rFonts w:eastAsiaTheme="minorHAnsi"/>
          <w:bCs/>
          <w:i/>
          <w:lang w:val="en-US"/>
        </w:rPr>
      </w:pPr>
      <w:r w:rsidRPr="00855910">
        <w:rPr>
          <w:rFonts w:eastAsiaTheme="minorHAnsi"/>
          <w:bCs/>
          <w:i/>
          <w:lang w:val="en-US"/>
        </w:rPr>
        <w:t>Caseload</w:t>
      </w:r>
    </w:p>
    <w:p w14:paraId="012CBE20" w14:textId="1B4A36BA" w:rsidR="001403A5" w:rsidRPr="00B33F0F" w:rsidRDefault="00855910" w:rsidP="00823498">
      <w:pPr>
        <w:autoSpaceDE w:val="0"/>
        <w:autoSpaceDN w:val="0"/>
        <w:adjustRightInd w:val="0"/>
        <w:rPr>
          <w:rFonts w:eastAsiaTheme="minorHAnsi"/>
          <w:bCs/>
          <w:lang w:val="en-US"/>
        </w:rPr>
      </w:pPr>
      <w:r>
        <w:rPr>
          <w:rFonts w:eastAsiaTheme="minorHAnsi"/>
          <w:bCs/>
          <w:lang w:val="en-US"/>
        </w:rPr>
        <w:t xml:space="preserve">Analysis of caseload suggests that interviewer-level response rates are not related to the number of interviews an interviewer completes. </w:t>
      </w:r>
      <w:r>
        <w:rPr>
          <w:rFonts w:eastAsiaTheme="minorHAnsi"/>
          <w:bCs/>
          <w:lang w:val="en-US"/>
        </w:rPr>
        <w:t xml:space="preserve">In </w:t>
      </w:r>
      <w:r w:rsidR="001403A5">
        <w:rPr>
          <w:rFonts w:eastAsiaTheme="minorHAnsi"/>
          <w:bCs/>
          <w:lang w:val="en-US"/>
        </w:rPr>
        <w:t xml:space="preserve">both panels of </w:t>
      </w:r>
      <w:r w:rsidR="00A67705">
        <w:rPr>
          <w:rFonts w:eastAsiaTheme="minorHAnsi"/>
          <w:bCs/>
          <w:lang w:val="en-US"/>
        </w:rPr>
        <w:t>Figure 1</w:t>
      </w:r>
      <w:r w:rsidR="001403A5">
        <w:rPr>
          <w:rFonts w:eastAsiaTheme="minorHAnsi"/>
          <w:bCs/>
          <w:lang w:val="en-US"/>
        </w:rPr>
        <w:t>,</w:t>
      </w:r>
      <w:r>
        <w:rPr>
          <w:rFonts w:eastAsiaTheme="minorHAnsi"/>
          <w:bCs/>
          <w:lang w:val="en-US"/>
        </w:rPr>
        <w:t xml:space="preserve"> e</w:t>
      </w:r>
      <w:r w:rsidRPr="00B33F0F">
        <w:rPr>
          <w:rFonts w:eastAsiaTheme="minorHAnsi"/>
          <w:bCs/>
          <w:lang w:val="en-US"/>
        </w:rPr>
        <w:t>ach point represents an interviewer.  The Y</w:t>
      </w:r>
      <w:r w:rsidR="00B12AAC">
        <w:rPr>
          <w:rFonts w:eastAsiaTheme="minorHAnsi"/>
          <w:bCs/>
          <w:lang w:val="en-US"/>
        </w:rPr>
        <w:t>-</w:t>
      </w:r>
      <w:r w:rsidRPr="00B33F0F">
        <w:rPr>
          <w:rFonts w:eastAsiaTheme="minorHAnsi"/>
          <w:bCs/>
          <w:lang w:val="en-US"/>
        </w:rPr>
        <w:t>axis is the response rate for an interviewer.  The X</w:t>
      </w:r>
      <w:r w:rsidR="00B12AAC">
        <w:rPr>
          <w:rFonts w:eastAsiaTheme="minorHAnsi"/>
          <w:bCs/>
          <w:lang w:val="en-US"/>
        </w:rPr>
        <w:t>-</w:t>
      </w:r>
      <w:r w:rsidRPr="00B33F0F">
        <w:rPr>
          <w:rFonts w:eastAsiaTheme="minorHAnsi"/>
          <w:bCs/>
          <w:lang w:val="en-US"/>
        </w:rPr>
        <w:t xml:space="preserve">axis (caseload), shows the number of interviews each FR has. </w:t>
      </w:r>
      <w:r w:rsidR="001403A5">
        <w:rPr>
          <w:rFonts w:eastAsiaTheme="minorHAnsi"/>
          <w:bCs/>
          <w:lang w:val="en-US"/>
        </w:rPr>
        <w:t xml:space="preserve">In the left panel, the caseload refers to the CE caseload. </w:t>
      </w:r>
      <w:r w:rsidRPr="00B33F0F">
        <w:rPr>
          <w:rFonts w:eastAsiaTheme="minorHAnsi"/>
          <w:bCs/>
          <w:lang w:val="en-US"/>
        </w:rPr>
        <w:t xml:space="preserve">Low caseloads have as many 0% response </w:t>
      </w:r>
      <w:r>
        <w:rPr>
          <w:rFonts w:eastAsiaTheme="minorHAnsi"/>
          <w:bCs/>
          <w:lang w:val="en-US"/>
        </w:rPr>
        <w:t xml:space="preserve">rates </w:t>
      </w:r>
      <w:r w:rsidRPr="00B33F0F">
        <w:rPr>
          <w:rFonts w:eastAsiaTheme="minorHAnsi"/>
          <w:bCs/>
          <w:lang w:val="en-US"/>
        </w:rPr>
        <w:t>as 100% response rates.</w:t>
      </w:r>
      <w:r w:rsidR="001403A5">
        <w:rPr>
          <w:rFonts w:eastAsiaTheme="minorHAnsi"/>
          <w:bCs/>
          <w:lang w:val="en-US"/>
        </w:rPr>
        <w:t xml:space="preserve"> In the right panel, where the caseload refers to total caseload across all surveys worked, </w:t>
      </w:r>
      <w:r w:rsidR="001403A5" w:rsidRPr="00B33F0F">
        <w:rPr>
          <w:rFonts w:eastAsiaTheme="minorHAnsi"/>
          <w:bCs/>
          <w:lang w:val="en-US"/>
        </w:rPr>
        <w:t xml:space="preserve">more successful interviewers </w:t>
      </w:r>
      <w:r w:rsidR="001403A5">
        <w:rPr>
          <w:rFonts w:eastAsiaTheme="minorHAnsi"/>
          <w:bCs/>
          <w:lang w:val="en-US"/>
        </w:rPr>
        <w:t>conduct</w:t>
      </w:r>
      <w:r w:rsidR="001403A5" w:rsidRPr="00B33F0F">
        <w:rPr>
          <w:rFonts w:eastAsiaTheme="minorHAnsi"/>
          <w:bCs/>
          <w:lang w:val="en-US"/>
        </w:rPr>
        <w:t xml:space="preserve"> more interviews.</w:t>
      </w:r>
    </w:p>
    <w:p w14:paraId="5A6D2280" w14:textId="77777777" w:rsidR="001403A5" w:rsidRDefault="001403A5" w:rsidP="009F4FB7">
      <w:pPr>
        <w:autoSpaceDE w:val="0"/>
        <w:autoSpaceDN w:val="0"/>
        <w:adjustRightInd w:val="0"/>
        <w:rPr>
          <w:rFonts w:eastAsiaTheme="minorHAnsi"/>
          <w:bCs/>
          <w:lang w:val="en-US"/>
        </w:rPr>
      </w:pPr>
    </w:p>
    <w:p w14:paraId="063FC860" w14:textId="51A5FBB3" w:rsidR="009F4FB7" w:rsidRPr="00B33F0F" w:rsidRDefault="00A67705" w:rsidP="009F4FB7">
      <w:pPr>
        <w:autoSpaceDE w:val="0"/>
        <w:autoSpaceDN w:val="0"/>
        <w:adjustRightInd w:val="0"/>
        <w:rPr>
          <w:rFonts w:eastAsiaTheme="minorHAnsi"/>
          <w:bCs/>
          <w:lang w:val="en-US"/>
        </w:rPr>
      </w:pPr>
      <w:r>
        <w:rPr>
          <w:rFonts w:eastAsiaTheme="minorHAnsi"/>
          <w:bCs/>
          <w:lang w:val="en-US"/>
        </w:rPr>
        <w:t>Figure 1</w:t>
      </w:r>
      <w:r w:rsidR="009F4FB7">
        <w:rPr>
          <w:rFonts w:eastAsiaTheme="minorHAnsi"/>
          <w:bCs/>
          <w:lang w:val="en-US"/>
        </w:rPr>
        <w:t xml:space="preserve">: </w:t>
      </w:r>
      <w:r w:rsidR="009F4FB7" w:rsidRPr="009F4FB7">
        <w:rPr>
          <w:rFonts w:eastAsiaTheme="minorHAnsi"/>
          <w:b/>
          <w:bCs/>
        </w:rPr>
        <w:t xml:space="preserve">Response rates and CE </w:t>
      </w:r>
      <w:r w:rsidR="00EF1F98">
        <w:rPr>
          <w:rFonts w:eastAsiaTheme="minorHAnsi"/>
          <w:b/>
          <w:bCs/>
        </w:rPr>
        <w:t>c</w:t>
      </w:r>
      <w:r w:rsidR="009F4FB7" w:rsidRPr="009F4FB7">
        <w:rPr>
          <w:rFonts w:eastAsiaTheme="minorHAnsi"/>
          <w:b/>
          <w:bCs/>
        </w:rPr>
        <w:t>aseload</w:t>
      </w:r>
      <w:r w:rsidR="00EF1F98">
        <w:rPr>
          <w:rFonts w:eastAsiaTheme="minorHAnsi"/>
          <w:b/>
          <w:bCs/>
        </w:rPr>
        <w:t>, total caseload</w:t>
      </w:r>
    </w:p>
    <w:p w14:paraId="15445A8F" w14:textId="6A83A035" w:rsidR="00545102" w:rsidRDefault="00545102" w:rsidP="00461965">
      <w:pPr>
        <w:autoSpaceDE w:val="0"/>
        <w:autoSpaceDN w:val="0"/>
        <w:adjustRightInd w:val="0"/>
        <w:rPr>
          <w:rFonts w:eastAsiaTheme="minorHAnsi"/>
          <w:b/>
          <w:bCs/>
          <w:sz w:val="32"/>
          <w:szCs w:val="32"/>
          <w:lang w:val="en-US"/>
        </w:rPr>
      </w:pPr>
      <w:r w:rsidRPr="00545102">
        <w:rPr>
          <w:rFonts w:eastAsiaTheme="minorHAnsi"/>
          <w:b/>
          <w:bCs/>
          <w:noProof/>
          <w:sz w:val="32"/>
          <w:szCs w:val="32"/>
          <w:lang w:val="en-US"/>
        </w:rPr>
        <w:drawing>
          <wp:inline distT="0" distB="0" distL="0" distR="0" wp14:anchorId="39A94D37" wp14:editId="0279E874">
            <wp:extent cx="2465882" cy="2270603"/>
            <wp:effectExtent l="0" t="0" r="0" b="0"/>
            <wp:docPr id="25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3" name="Picture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5342" cy="2306938"/>
                    </a:xfrm>
                    <a:prstGeom prst="rect">
                      <a:avLst/>
                    </a:prstGeom>
                    <a:noFill/>
                    <a:ln>
                      <a:noFill/>
                    </a:ln>
                    <a:extLst/>
                  </pic:spPr>
                </pic:pic>
              </a:graphicData>
            </a:graphic>
          </wp:inline>
        </w:drawing>
      </w:r>
      <w:r w:rsidR="00EF1F98" w:rsidRPr="00EF1F98">
        <w:rPr>
          <w:rFonts w:eastAsiaTheme="minorHAnsi"/>
          <w:b/>
          <w:bCs/>
          <w:noProof/>
          <w:sz w:val="32"/>
          <w:szCs w:val="32"/>
          <w:lang w:val="en-US"/>
        </w:rPr>
        <w:t xml:space="preserve"> </w:t>
      </w:r>
      <w:r w:rsidR="00EF1F98" w:rsidRPr="00FB7474">
        <w:rPr>
          <w:rFonts w:eastAsiaTheme="minorHAnsi"/>
          <w:b/>
          <w:bCs/>
          <w:noProof/>
          <w:sz w:val="32"/>
          <w:szCs w:val="32"/>
          <w:lang w:val="en-US"/>
        </w:rPr>
        <w:drawing>
          <wp:inline distT="0" distB="0" distL="0" distR="0" wp14:anchorId="691FA20C" wp14:editId="4BC0F48C">
            <wp:extent cx="2422192" cy="217336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5"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8214" cy="2196713"/>
                    </a:xfrm>
                    <a:prstGeom prst="rect">
                      <a:avLst/>
                    </a:prstGeom>
                    <a:noFill/>
                    <a:ln>
                      <a:noFill/>
                    </a:ln>
                    <a:extLst/>
                  </pic:spPr>
                </pic:pic>
              </a:graphicData>
            </a:graphic>
          </wp:inline>
        </w:drawing>
      </w:r>
    </w:p>
    <w:p w14:paraId="65EC36E1" w14:textId="77777777" w:rsidR="00545102" w:rsidRDefault="00545102" w:rsidP="00461965">
      <w:pPr>
        <w:autoSpaceDE w:val="0"/>
        <w:autoSpaceDN w:val="0"/>
        <w:adjustRightInd w:val="0"/>
        <w:rPr>
          <w:rFonts w:eastAsiaTheme="minorHAnsi"/>
          <w:b/>
          <w:bCs/>
          <w:sz w:val="32"/>
          <w:szCs w:val="32"/>
          <w:lang w:val="en-US"/>
        </w:rPr>
      </w:pPr>
    </w:p>
    <w:p w14:paraId="63CF0C4A" w14:textId="139DDC3F" w:rsidR="00855910" w:rsidRPr="00855910" w:rsidRDefault="00855910" w:rsidP="00823498">
      <w:pPr>
        <w:rPr>
          <w:rFonts w:eastAsiaTheme="minorHAnsi"/>
          <w:bCs/>
          <w:i/>
          <w:lang w:val="en-US"/>
        </w:rPr>
      </w:pPr>
      <w:r>
        <w:rPr>
          <w:rFonts w:eastAsiaTheme="minorHAnsi"/>
          <w:bCs/>
          <w:i/>
          <w:lang w:val="en-US"/>
        </w:rPr>
        <w:t>Start date of contact attempts</w:t>
      </w:r>
    </w:p>
    <w:p w14:paraId="17DAC6CF" w14:textId="77777777" w:rsidR="00B12AAC" w:rsidRDefault="00B12AAC" w:rsidP="00823498">
      <w:pPr>
        <w:autoSpaceDE w:val="0"/>
        <w:autoSpaceDN w:val="0"/>
        <w:adjustRightInd w:val="0"/>
        <w:rPr>
          <w:rFonts w:eastAsiaTheme="minorHAnsi"/>
          <w:bCs/>
          <w:lang w:val="en-US"/>
        </w:rPr>
        <w:sectPr w:rsidR="00B12AAC" w:rsidSect="00F0002D">
          <w:pgSz w:w="12240" w:h="15840"/>
          <w:pgMar w:top="720" w:right="720" w:bottom="720" w:left="720" w:header="720" w:footer="720" w:gutter="0"/>
          <w:cols w:space="720"/>
          <w:docGrid w:linePitch="360"/>
        </w:sectPr>
      </w:pPr>
    </w:p>
    <w:p w14:paraId="7BB8DFB9" w14:textId="09224F9F" w:rsidR="00855910" w:rsidRDefault="00855910" w:rsidP="00823498">
      <w:pPr>
        <w:autoSpaceDE w:val="0"/>
        <w:autoSpaceDN w:val="0"/>
        <w:adjustRightInd w:val="0"/>
        <w:rPr>
          <w:rFonts w:eastAsiaTheme="minorHAnsi"/>
          <w:bCs/>
          <w:lang w:val="en-US"/>
        </w:rPr>
      </w:pPr>
      <w:r w:rsidRPr="00B33F0F">
        <w:rPr>
          <w:rFonts w:eastAsiaTheme="minorHAnsi"/>
          <w:bCs/>
          <w:lang w:val="en-US"/>
        </w:rPr>
        <w:t xml:space="preserve">The lore about interviewers is that those who attempt to interview their households early in the month are more likely to succeed.  </w:t>
      </w:r>
      <w:r>
        <w:rPr>
          <w:rFonts w:eastAsiaTheme="minorHAnsi"/>
          <w:bCs/>
          <w:lang w:val="en-US"/>
        </w:rPr>
        <w:t xml:space="preserve">However, these data show </w:t>
      </w:r>
      <w:r w:rsidR="00F776E2">
        <w:rPr>
          <w:rFonts w:eastAsiaTheme="minorHAnsi"/>
          <w:bCs/>
          <w:lang w:val="en-US"/>
        </w:rPr>
        <w:t>there is no</w:t>
      </w:r>
      <w:r w:rsidRPr="00B33F0F">
        <w:rPr>
          <w:rFonts w:eastAsiaTheme="minorHAnsi"/>
          <w:bCs/>
          <w:lang w:val="en-US"/>
        </w:rPr>
        <w:t xml:space="preserve"> relationship.  </w:t>
      </w:r>
      <w:r w:rsidR="00585CBB">
        <w:rPr>
          <w:rFonts w:eastAsiaTheme="minorHAnsi"/>
          <w:bCs/>
          <w:lang w:val="en-US"/>
        </w:rPr>
        <w:t>Figure 2</w:t>
      </w:r>
      <w:r w:rsidR="00100B64">
        <w:rPr>
          <w:rFonts w:eastAsiaTheme="minorHAnsi"/>
          <w:bCs/>
          <w:lang w:val="en-US"/>
        </w:rPr>
        <w:t xml:space="preserve"> shows this</w:t>
      </w:r>
      <w:r w:rsidR="00F776E2">
        <w:rPr>
          <w:rFonts w:eastAsiaTheme="minorHAnsi"/>
          <w:bCs/>
          <w:lang w:val="en-US"/>
        </w:rPr>
        <w:t>,</w:t>
      </w:r>
      <w:r w:rsidR="00100B64">
        <w:rPr>
          <w:rFonts w:eastAsiaTheme="minorHAnsi"/>
          <w:bCs/>
          <w:lang w:val="en-US"/>
        </w:rPr>
        <w:t xml:space="preserve"> as well as the effect of interviewer changes</w:t>
      </w:r>
      <w:r w:rsidR="00F776E2">
        <w:rPr>
          <w:rFonts w:eastAsiaTheme="minorHAnsi"/>
          <w:bCs/>
          <w:lang w:val="en-US"/>
        </w:rPr>
        <w:t xml:space="preserve"> (</w:t>
      </w:r>
      <w:r w:rsidRPr="00B33F0F">
        <w:rPr>
          <w:rFonts w:eastAsiaTheme="minorHAnsi"/>
          <w:bCs/>
          <w:lang w:val="en-US"/>
        </w:rPr>
        <w:t>due to scheduling, caseload balancing, or refusal conversion</w:t>
      </w:r>
      <w:r w:rsidR="00F776E2">
        <w:rPr>
          <w:rFonts w:eastAsiaTheme="minorHAnsi"/>
          <w:bCs/>
          <w:lang w:val="en-US"/>
        </w:rPr>
        <w:t>) on response rate</w:t>
      </w:r>
      <w:r w:rsidRPr="00B33F0F">
        <w:rPr>
          <w:rFonts w:eastAsiaTheme="minorHAnsi"/>
          <w:bCs/>
          <w:lang w:val="en-US"/>
        </w:rPr>
        <w:t xml:space="preserve">.  There </w:t>
      </w:r>
      <w:r w:rsidR="00F776E2">
        <w:rPr>
          <w:rFonts w:eastAsiaTheme="minorHAnsi"/>
          <w:bCs/>
          <w:lang w:val="en-US"/>
        </w:rPr>
        <w:t xml:space="preserve">is some evidence that interviewer changes are associated with higher response rates, possibly </w:t>
      </w:r>
      <w:r w:rsidRPr="00B33F0F">
        <w:rPr>
          <w:rFonts w:eastAsiaTheme="minorHAnsi"/>
          <w:bCs/>
          <w:lang w:val="en-US"/>
        </w:rPr>
        <w:t xml:space="preserve">due to refusal conversion experts “saving” </w:t>
      </w:r>
      <w:r w:rsidR="00EF1F98">
        <w:rPr>
          <w:rFonts w:eastAsiaTheme="minorHAnsi"/>
          <w:bCs/>
          <w:lang w:val="en-US"/>
        </w:rPr>
        <w:t>interviews</w:t>
      </w:r>
      <w:r w:rsidR="00F776E2">
        <w:rPr>
          <w:rFonts w:eastAsiaTheme="minorHAnsi"/>
          <w:bCs/>
          <w:lang w:val="en-US"/>
        </w:rPr>
        <w:t xml:space="preserve">, </w:t>
      </w:r>
      <w:r w:rsidR="00EF1F98">
        <w:rPr>
          <w:rFonts w:eastAsiaTheme="minorHAnsi"/>
          <w:bCs/>
          <w:lang w:val="en-US"/>
        </w:rPr>
        <w:t>but there is no relationship to first date of attempted contact.</w:t>
      </w:r>
    </w:p>
    <w:p w14:paraId="29705A69" w14:textId="71535C6C" w:rsidR="009F4FB7" w:rsidRDefault="009F4FB7">
      <w:pPr>
        <w:spacing w:after="160" w:line="259" w:lineRule="auto"/>
        <w:rPr>
          <w:rFonts w:eastAsiaTheme="minorHAnsi"/>
          <w:bCs/>
          <w:lang w:val="en-US"/>
        </w:rPr>
      </w:pPr>
    </w:p>
    <w:p w14:paraId="150EDF11" w14:textId="77777777" w:rsidR="00B12AAC" w:rsidRDefault="00B12AAC" w:rsidP="00545102">
      <w:pPr>
        <w:autoSpaceDE w:val="0"/>
        <w:autoSpaceDN w:val="0"/>
        <w:adjustRightInd w:val="0"/>
        <w:rPr>
          <w:rFonts w:eastAsiaTheme="minorHAnsi"/>
          <w:bCs/>
          <w:lang w:val="en-US"/>
        </w:rPr>
      </w:pPr>
    </w:p>
    <w:p w14:paraId="76904B0A" w14:textId="77777777" w:rsidR="00B12AAC" w:rsidRDefault="00B12AAC" w:rsidP="00545102">
      <w:pPr>
        <w:autoSpaceDE w:val="0"/>
        <w:autoSpaceDN w:val="0"/>
        <w:adjustRightInd w:val="0"/>
        <w:rPr>
          <w:rFonts w:eastAsiaTheme="minorHAnsi"/>
          <w:bCs/>
          <w:lang w:val="en-US"/>
        </w:rPr>
      </w:pPr>
    </w:p>
    <w:p w14:paraId="189BC3DC" w14:textId="77777777" w:rsidR="00B12AAC" w:rsidRDefault="00B12AAC" w:rsidP="00545102">
      <w:pPr>
        <w:autoSpaceDE w:val="0"/>
        <w:autoSpaceDN w:val="0"/>
        <w:adjustRightInd w:val="0"/>
        <w:rPr>
          <w:rFonts w:eastAsiaTheme="minorHAnsi"/>
          <w:bCs/>
          <w:lang w:val="en-US"/>
        </w:rPr>
      </w:pPr>
    </w:p>
    <w:p w14:paraId="5649285D" w14:textId="2A587080" w:rsidR="009F4FB7" w:rsidRPr="00B33F0F" w:rsidRDefault="009F4FB7" w:rsidP="00545102">
      <w:pPr>
        <w:autoSpaceDE w:val="0"/>
        <w:autoSpaceDN w:val="0"/>
        <w:adjustRightInd w:val="0"/>
        <w:rPr>
          <w:rFonts w:eastAsiaTheme="minorHAnsi"/>
          <w:bCs/>
          <w:lang w:val="en-US"/>
        </w:rPr>
      </w:pPr>
      <w:r>
        <w:rPr>
          <w:rFonts w:eastAsiaTheme="minorHAnsi"/>
          <w:bCs/>
          <w:lang w:val="en-US"/>
        </w:rPr>
        <w:t xml:space="preserve">Figure </w:t>
      </w:r>
      <w:r w:rsidR="00585CBB">
        <w:rPr>
          <w:rFonts w:eastAsiaTheme="minorHAnsi"/>
          <w:bCs/>
          <w:lang w:val="en-US"/>
        </w:rPr>
        <w:t>2</w:t>
      </w:r>
      <w:r>
        <w:rPr>
          <w:rFonts w:eastAsiaTheme="minorHAnsi"/>
          <w:bCs/>
          <w:lang w:val="en-US"/>
        </w:rPr>
        <w:t xml:space="preserve">: </w:t>
      </w:r>
      <w:r w:rsidRPr="009F4FB7">
        <w:rPr>
          <w:rFonts w:eastAsiaTheme="minorHAnsi"/>
          <w:b/>
          <w:bCs/>
        </w:rPr>
        <w:t>Response rates and first interview date</w:t>
      </w:r>
    </w:p>
    <w:p w14:paraId="6D54D42A" w14:textId="6741C653" w:rsidR="00545102" w:rsidRDefault="00FB7474" w:rsidP="00461965">
      <w:pPr>
        <w:autoSpaceDE w:val="0"/>
        <w:autoSpaceDN w:val="0"/>
        <w:adjustRightInd w:val="0"/>
        <w:rPr>
          <w:rFonts w:eastAsiaTheme="minorHAnsi"/>
          <w:b/>
          <w:bCs/>
          <w:sz w:val="32"/>
          <w:szCs w:val="32"/>
          <w:lang w:val="en-US"/>
        </w:rPr>
      </w:pPr>
      <w:r w:rsidRPr="00FB7474">
        <w:rPr>
          <w:rFonts w:eastAsiaTheme="minorHAnsi"/>
          <w:b/>
          <w:bCs/>
          <w:noProof/>
          <w:sz w:val="32"/>
          <w:szCs w:val="32"/>
          <w:lang w:val="en-US"/>
        </w:rPr>
        <w:drawing>
          <wp:inline distT="0" distB="0" distL="0" distR="0" wp14:anchorId="616252F7" wp14:editId="255B26C9">
            <wp:extent cx="2784192" cy="2495862"/>
            <wp:effectExtent l="0" t="0" r="0" b="0"/>
            <wp:docPr id="27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1" name="Picture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7193" cy="2516481"/>
                    </a:xfrm>
                    <a:prstGeom prst="rect">
                      <a:avLst/>
                    </a:prstGeom>
                    <a:noFill/>
                    <a:ln>
                      <a:noFill/>
                    </a:ln>
                    <a:extLst/>
                  </pic:spPr>
                </pic:pic>
              </a:graphicData>
            </a:graphic>
          </wp:inline>
        </w:drawing>
      </w:r>
    </w:p>
    <w:p w14:paraId="6FBF32DB" w14:textId="77777777" w:rsidR="00B12AAC" w:rsidRDefault="00B12AAC" w:rsidP="00461965">
      <w:pPr>
        <w:autoSpaceDE w:val="0"/>
        <w:autoSpaceDN w:val="0"/>
        <w:adjustRightInd w:val="0"/>
        <w:rPr>
          <w:rFonts w:eastAsiaTheme="minorHAnsi"/>
          <w:b/>
          <w:bCs/>
          <w:sz w:val="32"/>
          <w:szCs w:val="32"/>
          <w:lang w:val="en-US"/>
        </w:rPr>
        <w:sectPr w:rsidR="00B12AAC" w:rsidSect="00B12AAC">
          <w:type w:val="continuous"/>
          <w:pgSz w:w="12240" w:h="15840"/>
          <w:pgMar w:top="720" w:right="720" w:bottom="720" w:left="720" w:header="720" w:footer="720" w:gutter="0"/>
          <w:cols w:num="2" w:space="720"/>
          <w:docGrid w:linePitch="360"/>
        </w:sectPr>
      </w:pPr>
    </w:p>
    <w:p w14:paraId="74165879" w14:textId="3F09A301" w:rsidR="00B12AAC" w:rsidRDefault="00B12AAC" w:rsidP="00461965">
      <w:pPr>
        <w:autoSpaceDE w:val="0"/>
        <w:autoSpaceDN w:val="0"/>
        <w:adjustRightInd w:val="0"/>
        <w:rPr>
          <w:rFonts w:eastAsiaTheme="minorHAnsi"/>
          <w:b/>
          <w:bCs/>
          <w:sz w:val="32"/>
          <w:szCs w:val="32"/>
          <w:lang w:val="en-US"/>
        </w:rPr>
      </w:pPr>
    </w:p>
    <w:p w14:paraId="76736284" w14:textId="77777777" w:rsidR="00EF1F98" w:rsidRDefault="00EF1F98" w:rsidP="00461965">
      <w:pPr>
        <w:autoSpaceDE w:val="0"/>
        <w:autoSpaceDN w:val="0"/>
        <w:adjustRightInd w:val="0"/>
        <w:rPr>
          <w:rFonts w:eastAsiaTheme="minorHAnsi"/>
          <w:b/>
          <w:bCs/>
          <w:sz w:val="32"/>
          <w:szCs w:val="32"/>
          <w:lang w:val="en-US"/>
        </w:rPr>
      </w:pPr>
    </w:p>
    <w:p w14:paraId="101ED751" w14:textId="77777777" w:rsidR="00B12AAC" w:rsidRDefault="00B12AAC">
      <w:pPr>
        <w:spacing w:after="160" w:line="259" w:lineRule="auto"/>
        <w:rPr>
          <w:rFonts w:eastAsiaTheme="minorHAnsi"/>
          <w:bCs/>
          <w:i/>
          <w:lang w:val="en-US"/>
        </w:rPr>
      </w:pPr>
      <w:r>
        <w:rPr>
          <w:rFonts w:eastAsiaTheme="minorHAnsi"/>
          <w:bCs/>
          <w:i/>
          <w:lang w:val="en-US"/>
        </w:rPr>
        <w:br w:type="page"/>
      </w:r>
    </w:p>
    <w:p w14:paraId="43974C20" w14:textId="2AB580E7" w:rsidR="00EF1F98" w:rsidRPr="00EF1F98" w:rsidRDefault="00EF1F98" w:rsidP="00461965">
      <w:pPr>
        <w:autoSpaceDE w:val="0"/>
        <w:autoSpaceDN w:val="0"/>
        <w:adjustRightInd w:val="0"/>
        <w:rPr>
          <w:rFonts w:eastAsiaTheme="minorHAnsi"/>
          <w:bCs/>
          <w:i/>
          <w:lang w:val="en-US"/>
        </w:rPr>
      </w:pPr>
      <w:r w:rsidRPr="00EF1F98">
        <w:rPr>
          <w:rFonts w:eastAsiaTheme="minorHAnsi"/>
          <w:bCs/>
          <w:i/>
          <w:lang w:val="en-US"/>
        </w:rPr>
        <w:lastRenderedPageBreak/>
        <w:t>Interview length</w:t>
      </w:r>
    </w:p>
    <w:p w14:paraId="5E03E4AA" w14:textId="77777777" w:rsidR="00646F00" w:rsidRDefault="00646F00" w:rsidP="00EF1F98">
      <w:pPr>
        <w:autoSpaceDE w:val="0"/>
        <w:autoSpaceDN w:val="0"/>
        <w:adjustRightInd w:val="0"/>
        <w:rPr>
          <w:rFonts w:eastAsiaTheme="minorHAnsi"/>
          <w:bCs/>
          <w:lang w:val="en-US"/>
        </w:rPr>
        <w:sectPr w:rsidR="00646F00" w:rsidSect="00B12AAC">
          <w:type w:val="continuous"/>
          <w:pgSz w:w="12240" w:h="15840"/>
          <w:pgMar w:top="720" w:right="720" w:bottom="720" w:left="720" w:header="720" w:footer="720" w:gutter="0"/>
          <w:cols w:space="720"/>
          <w:docGrid w:linePitch="360"/>
        </w:sectPr>
      </w:pPr>
    </w:p>
    <w:p w14:paraId="7963DEE6" w14:textId="2309EAE2" w:rsidR="00EF1F98" w:rsidRPr="00B33F0F" w:rsidRDefault="00EF1F98" w:rsidP="00EF1F98">
      <w:pPr>
        <w:autoSpaceDE w:val="0"/>
        <w:autoSpaceDN w:val="0"/>
        <w:adjustRightInd w:val="0"/>
        <w:rPr>
          <w:rFonts w:eastAsiaTheme="minorHAnsi"/>
          <w:bCs/>
          <w:lang w:val="en-US"/>
        </w:rPr>
      </w:pPr>
      <w:r w:rsidRPr="00B33F0F">
        <w:rPr>
          <w:rFonts w:eastAsiaTheme="minorHAnsi"/>
          <w:bCs/>
          <w:lang w:val="en-US"/>
        </w:rPr>
        <w:t>The lore is that long interviews are tiring for interviewe</w:t>
      </w:r>
      <w:r>
        <w:rPr>
          <w:rFonts w:eastAsiaTheme="minorHAnsi"/>
          <w:bCs/>
          <w:lang w:val="en-US"/>
        </w:rPr>
        <w:t xml:space="preserve">rs, which might reduce the time or </w:t>
      </w:r>
      <w:r w:rsidRPr="00B33F0F">
        <w:rPr>
          <w:rFonts w:eastAsiaTheme="minorHAnsi"/>
          <w:bCs/>
          <w:lang w:val="en-US"/>
        </w:rPr>
        <w:t xml:space="preserve">enthusiasm to complete their interview schedule.  </w:t>
      </w:r>
      <w:r>
        <w:rPr>
          <w:rFonts w:eastAsiaTheme="minorHAnsi"/>
          <w:bCs/>
          <w:lang w:val="en-US"/>
        </w:rPr>
        <w:t xml:space="preserve">However, these data suggest there is no </w:t>
      </w:r>
      <w:r w:rsidRPr="00B33F0F">
        <w:rPr>
          <w:rFonts w:eastAsiaTheme="minorHAnsi"/>
          <w:bCs/>
          <w:lang w:val="en-US"/>
        </w:rPr>
        <w:t>relationship</w:t>
      </w:r>
      <w:r w:rsidR="00646F00">
        <w:rPr>
          <w:rFonts w:eastAsiaTheme="minorHAnsi"/>
          <w:bCs/>
          <w:lang w:val="en-US"/>
        </w:rPr>
        <w:t xml:space="preserve"> (Figure 3</w:t>
      </w:r>
      <w:r>
        <w:rPr>
          <w:rFonts w:eastAsiaTheme="minorHAnsi"/>
          <w:bCs/>
          <w:lang w:val="en-US"/>
        </w:rPr>
        <w:t>)</w:t>
      </w:r>
      <w:r w:rsidRPr="00B33F0F">
        <w:rPr>
          <w:rFonts w:eastAsiaTheme="minorHAnsi"/>
          <w:bCs/>
          <w:lang w:val="en-US"/>
        </w:rPr>
        <w:t xml:space="preserve">. </w:t>
      </w:r>
    </w:p>
    <w:p w14:paraId="3F413953" w14:textId="77777777" w:rsidR="00EF1F98" w:rsidRPr="00EF1F98" w:rsidRDefault="00EF1F98" w:rsidP="00461965">
      <w:pPr>
        <w:autoSpaceDE w:val="0"/>
        <w:autoSpaceDN w:val="0"/>
        <w:adjustRightInd w:val="0"/>
        <w:rPr>
          <w:rFonts w:eastAsiaTheme="minorHAnsi"/>
          <w:b/>
          <w:bCs/>
          <w:i/>
          <w:sz w:val="32"/>
          <w:szCs w:val="32"/>
          <w:lang w:val="en-US"/>
        </w:rPr>
      </w:pPr>
    </w:p>
    <w:p w14:paraId="69616496" w14:textId="77777777" w:rsidR="00646F00" w:rsidRDefault="00646F00" w:rsidP="00461965">
      <w:pPr>
        <w:autoSpaceDE w:val="0"/>
        <w:autoSpaceDN w:val="0"/>
        <w:adjustRightInd w:val="0"/>
        <w:rPr>
          <w:rFonts w:eastAsiaTheme="minorHAnsi"/>
          <w:bCs/>
          <w:lang w:val="en-US"/>
        </w:rPr>
      </w:pPr>
    </w:p>
    <w:p w14:paraId="585CC34E" w14:textId="77777777" w:rsidR="00646F00" w:rsidRDefault="00646F00" w:rsidP="00461965">
      <w:pPr>
        <w:autoSpaceDE w:val="0"/>
        <w:autoSpaceDN w:val="0"/>
        <w:adjustRightInd w:val="0"/>
        <w:rPr>
          <w:rFonts w:eastAsiaTheme="minorHAnsi"/>
          <w:bCs/>
          <w:lang w:val="en-US"/>
        </w:rPr>
      </w:pPr>
    </w:p>
    <w:p w14:paraId="79BD67FE" w14:textId="77777777" w:rsidR="00646F00" w:rsidRDefault="00646F00" w:rsidP="00461965">
      <w:pPr>
        <w:autoSpaceDE w:val="0"/>
        <w:autoSpaceDN w:val="0"/>
        <w:adjustRightInd w:val="0"/>
        <w:rPr>
          <w:rFonts w:eastAsiaTheme="minorHAnsi"/>
          <w:bCs/>
          <w:lang w:val="en-US"/>
        </w:rPr>
      </w:pPr>
    </w:p>
    <w:p w14:paraId="724B6140" w14:textId="77777777" w:rsidR="00646F00" w:rsidRDefault="00646F00" w:rsidP="00461965">
      <w:pPr>
        <w:autoSpaceDE w:val="0"/>
        <w:autoSpaceDN w:val="0"/>
        <w:adjustRightInd w:val="0"/>
        <w:rPr>
          <w:rFonts w:eastAsiaTheme="minorHAnsi"/>
          <w:bCs/>
          <w:lang w:val="en-US"/>
        </w:rPr>
      </w:pPr>
    </w:p>
    <w:p w14:paraId="50DEB655" w14:textId="77777777" w:rsidR="00646F00" w:rsidRDefault="00646F00" w:rsidP="00461965">
      <w:pPr>
        <w:autoSpaceDE w:val="0"/>
        <w:autoSpaceDN w:val="0"/>
        <w:adjustRightInd w:val="0"/>
        <w:rPr>
          <w:rFonts w:eastAsiaTheme="minorHAnsi"/>
          <w:bCs/>
          <w:lang w:val="en-US"/>
        </w:rPr>
      </w:pPr>
    </w:p>
    <w:p w14:paraId="0B05ABE1" w14:textId="77777777" w:rsidR="00646F00" w:rsidRDefault="00646F00" w:rsidP="00461965">
      <w:pPr>
        <w:autoSpaceDE w:val="0"/>
        <w:autoSpaceDN w:val="0"/>
        <w:adjustRightInd w:val="0"/>
        <w:rPr>
          <w:rFonts w:eastAsiaTheme="minorHAnsi"/>
          <w:bCs/>
          <w:lang w:val="en-US"/>
        </w:rPr>
      </w:pPr>
    </w:p>
    <w:p w14:paraId="739F97C6" w14:textId="77777777" w:rsidR="00646F00" w:rsidRDefault="00646F00" w:rsidP="00461965">
      <w:pPr>
        <w:autoSpaceDE w:val="0"/>
        <w:autoSpaceDN w:val="0"/>
        <w:adjustRightInd w:val="0"/>
        <w:rPr>
          <w:rFonts w:eastAsiaTheme="minorHAnsi"/>
          <w:bCs/>
          <w:lang w:val="en-US"/>
        </w:rPr>
      </w:pPr>
    </w:p>
    <w:p w14:paraId="4C8E7A3E" w14:textId="77777777" w:rsidR="00646F00" w:rsidRDefault="00646F00" w:rsidP="00461965">
      <w:pPr>
        <w:autoSpaceDE w:val="0"/>
        <w:autoSpaceDN w:val="0"/>
        <w:adjustRightInd w:val="0"/>
        <w:rPr>
          <w:rFonts w:eastAsiaTheme="minorHAnsi"/>
          <w:bCs/>
          <w:lang w:val="en-US"/>
        </w:rPr>
      </w:pPr>
    </w:p>
    <w:p w14:paraId="10F48B58" w14:textId="77777777" w:rsidR="00646F00" w:rsidRDefault="00646F00" w:rsidP="00461965">
      <w:pPr>
        <w:autoSpaceDE w:val="0"/>
        <w:autoSpaceDN w:val="0"/>
        <w:adjustRightInd w:val="0"/>
        <w:rPr>
          <w:rFonts w:eastAsiaTheme="minorHAnsi"/>
          <w:bCs/>
          <w:lang w:val="en-US"/>
        </w:rPr>
      </w:pPr>
    </w:p>
    <w:p w14:paraId="0C9F651E" w14:textId="6796EB5A" w:rsidR="00FB7474" w:rsidRPr="001403A5" w:rsidRDefault="00646F00" w:rsidP="00461965">
      <w:pPr>
        <w:autoSpaceDE w:val="0"/>
        <w:autoSpaceDN w:val="0"/>
        <w:adjustRightInd w:val="0"/>
        <w:rPr>
          <w:rFonts w:eastAsiaTheme="minorHAnsi"/>
          <w:b/>
          <w:bCs/>
        </w:rPr>
      </w:pPr>
      <w:r>
        <w:rPr>
          <w:rFonts w:eastAsiaTheme="minorHAnsi"/>
          <w:bCs/>
          <w:lang w:val="en-US"/>
        </w:rPr>
        <w:t>Figure 3</w:t>
      </w:r>
      <w:r w:rsidR="00404A89" w:rsidRPr="001403A5">
        <w:rPr>
          <w:rFonts w:eastAsiaTheme="minorHAnsi"/>
          <w:bCs/>
          <w:lang w:val="en-US"/>
        </w:rPr>
        <w:t>:</w:t>
      </w:r>
      <w:r w:rsidR="00404A89">
        <w:rPr>
          <w:rFonts w:eastAsiaTheme="minorHAnsi"/>
          <w:b/>
          <w:bCs/>
          <w:sz w:val="32"/>
          <w:szCs w:val="32"/>
        </w:rPr>
        <w:t xml:space="preserve"> </w:t>
      </w:r>
      <w:r w:rsidR="00404A89" w:rsidRPr="001403A5">
        <w:rPr>
          <w:rFonts w:eastAsiaTheme="minorHAnsi"/>
          <w:b/>
          <w:bCs/>
        </w:rPr>
        <w:t>Response rates and interview length</w:t>
      </w:r>
    </w:p>
    <w:p w14:paraId="3B74A204" w14:textId="7386C40E" w:rsidR="00404A89" w:rsidRPr="00B33F0F" w:rsidRDefault="00FB7474" w:rsidP="00404A89">
      <w:pPr>
        <w:autoSpaceDE w:val="0"/>
        <w:autoSpaceDN w:val="0"/>
        <w:adjustRightInd w:val="0"/>
        <w:rPr>
          <w:rFonts w:eastAsiaTheme="minorHAnsi"/>
          <w:bCs/>
          <w:lang w:val="en-US"/>
        </w:rPr>
      </w:pPr>
      <w:r w:rsidRPr="00FB7474">
        <w:rPr>
          <w:rFonts w:eastAsiaTheme="minorHAnsi"/>
          <w:b/>
          <w:bCs/>
          <w:noProof/>
          <w:sz w:val="32"/>
          <w:szCs w:val="32"/>
          <w:lang w:val="en-US"/>
        </w:rPr>
        <w:drawing>
          <wp:inline distT="0" distB="0" distL="0" distR="0" wp14:anchorId="5EF4ED8A" wp14:editId="23092133">
            <wp:extent cx="2674910" cy="2165350"/>
            <wp:effectExtent l="0" t="0" r="0" b="6350"/>
            <wp:docPr id="29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9"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874" cy="2198511"/>
                    </a:xfrm>
                    <a:prstGeom prst="rect">
                      <a:avLst/>
                    </a:prstGeom>
                    <a:noFill/>
                    <a:ln>
                      <a:noFill/>
                    </a:ln>
                    <a:extLst/>
                  </pic:spPr>
                </pic:pic>
              </a:graphicData>
            </a:graphic>
          </wp:inline>
        </w:drawing>
      </w:r>
    </w:p>
    <w:p w14:paraId="77112FBD" w14:textId="77777777" w:rsidR="00646F00" w:rsidRDefault="00646F00" w:rsidP="00823498">
      <w:pPr>
        <w:spacing w:line="259" w:lineRule="auto"/>
        <w:rPr>
          <w:rFonts w:eastAsiaTheme="minorHAnsi"/>
          <w:b/>
          <w:bCs/>
          <w:sz w:val="32"/>
          <w:szCs w:val="32"/>
          <w:lang w:val="en-US"/>
        </w:rPr>
        <w:sectPr w:rsidR="00646F00" w:rsidSect="00646F00">
          <w:type w:val="continuous"/>
          <w:pgSz w:w="12240" w:h="15840"/>
          <w:pgMar w:top="720" w:right="720" w:bottom="720" w:left="720" w:header="720" w:footer="720" w:gutter="0"/>
          <w:cols w:num="2" w:space="720"/>
          <w:docGrid w:linePitch="360"/>
        </w:sectPr>
      </w:pPr>
    </w:p>
    <w:p w14:paraId="54DED4BD" w14:textId="566836F5" w:rsidR="00EF1F98" w:rsidRDefault="00EF1F98" w:rsidP="00823498">
      <w:pPr>
        <w:spacing w:line="259" w:lineRule="auto"/>
        <w:rPr>
          <w:rFonts w:eastAsiaTheme="minorHAnsi"/>
          <w:b/>
          <w:bCs/>
          <w:sz w:val="32"/>
          <w:szCs w:val="32"/>
          <w:lang w:val="en-US"/>
        </w:rPr>
      </w:pPr>
    </w:p>
    <w:p w14:paraId="4CFE1025" w14:textId="2D0D132A" w:rsidR="00EF1F98" w:rsidRPr="001403A5" w:rsidRDefault="00EF1F98" w:rsidP="00EF1F98">
      <w:pPr>
        <w:autoSpaceDE w:val="0"/>
        <w:autoSpaceDN w:val="0"/>
        <w:adjustRightInd w:val="0"/>
        <w:rPr>
          <w:rFonts w:eastAsiaTheme="minorHAnsi"/>
          <w:bCs/>
          <w:i/>
        </w:rPr>
      </w:pPr>
      <w:r w:rsidRPr="001403A5">
        <w:rPr>
          <w:rFonts w:eastAsiaTheme="minorHAnsi"/>
          <w:bCs/>
          <w:i/>
        </w:rPr>
        <w:t xml:space="preserve">Number of </w:t>
      </w:r>
      <w:r>
        <w:rPr>
          <w:rFonts w:eastAsiaTheme="minorHAnsi"/>
          <w:bCs/>
          <w:i/>
        </w:rPr>
        <w:t xml:space="preserve">Additional </w:t>
      </w:r>
      <w:r w:rsidRPr="001403A5">
        <w:rPr>
          <w:rFonts w:eastAsiaTheme="minorHAnsi"/>
          <w:bCs/>
          <w:i/>
        </w:rPr>
        <w:t>Surveys Worked</w:t>
      </w:r>
    </w:p>
    <w:p w14:paraId="5E8EF647" w14:textId="77777777" w:rsidR="00646F00" w:rsidRDefault="00646F00" w:rsidP="00EF1F98">
      <w:pPr>
        <w:autoSpaceDE w:val="0"/>
        <w:autoSpaceDN w:val="0"/>
        <w:adjustRightInd w:val="0"/>
        <w:rPr>
          <w:rFonts w:eastAsiaTheme="minorHAnsi"/>
          <w:bCs/>
        </w:rPr>
        <w:sectPr w:rsidR="00646F00" w:rsidSect="00646F00">
          <w:type w:val="continuous"/>
          <w:pgSz w:w="12240" w:h="15840"/>
          <w:pgMar w:top="720" w:right="720" w:bottom="720" w:left="720" w:header="720" w:footer="720" w:gutter="0"/>
          <w:cols w:space="720"/>
          <w:docGrid w:linePitch="360"/>
        </w:sectPr>
      </w:pPr>
    </w:p>
    <w:p w14:paraId="0394372C" w14:textId="74FDBD36" w:rsidR="00EF1F98" w:rsidRDefault="00EF1F98" w:rsidP="00EF1F98">
      <w:pPr>
        <w:autoSpaceDE w:val="0"/>
        <w:autoSpaceDN w:val="0"/>
        <w:adjustRightInd w:val="0"/>
        <w:rPr>
          <w:rFonts w:eastAsiaTheme="minorHAnsi"/>
          <w:bCs/>
        </w:rPr>
      </w:pPr>
      <w:r w:rsidRPr="00B33F0F">
        <w:rPr>
          <w:rFonts w:eastAsiaTheme="minorHAnsi"/>
          <w:bCs/>
        </w:rPr>
        <w:t>The lore suggest</w:t>
      </w:r>
      <w:r>
        <w:rPr>
          <w:rFonts w:eastAsiaTheme="minorHAnsi"/>
          <w:bCs/>
        </w:rPr>
        <w:t>s</w:t>
      </w:r>
      <w:r w:rsidRPr="00B33F0F">
        <w:rPr>
          <w:rFonts w:eastAsiaTheme="minorHAnsi"/>
          <w:bCs/>
        </w:rPr>
        <w:t xml:space="preserve"> that interviewers </w:t>
      </w:r>
      <w:r>
        <w:rPr>
          <w:rFonts w:eastAsiaTheme="minorHAnsi"/>
          <w:bCs/>
        </w:rPr>
        <w:t xml:space="preserve">who </w:t>
      </w:r>
      <w:r w:rsidRPr="00B33F0F">
        <w:rPr>
          <w:rFonts w:eastAsiaTheme="minorHAnsi"/>
          <w:bCs/>
        </w:rPr>
        <w:t xml:space="preserve">work more surveys have less time </w:t>
      </w:r>
      <w:r>
        <w:rPr>
          <w:rFonts w:eastAsiaTheme="minorHAnsi"/>
          <w:bCs/>
        </w:rPr>
        <w:t xml:space="preserve">for </w:t>
      </w:r>
      <w:r w:rsidRPr="00B33F0F">
        <w:rPr>
          <w:rFonts w:eastAsiaTheme="minorHAnsi"/>
          <w:bCs/>
        </w:rPr>
        <w:t>and loyalty to any one survey</w:t>
      </w:r>
      <w:r>
        <w:rPr>
          <w:rFonts w:eastAsiaTheme="minorHAnsi"/>
          <w:bCs/>
        </w:rPr>
        <w:t xml:space="preserve">, </w:t>
      </w:r>
      <w:r w:rsidRPr="00B33F0F">
        <w:rPr>
          <w:rFonts w:eastAsiaTheme="minorHAnsi"/>
          <w:bCs/>
        </w:rPr>
        <w:t>lead</w:t>
      </w:r>
      <w:r>
        <w:rPr>
          <w:rFonts w:eastAsiaTheme="minorHAnsi"/>
          <w:bCs/>
        </w:rPr>
        <w:t>ing</w:t>
      </w:r>
      <w:r w:rsidRPr="00B33F0F">
        <w:rPr>
          <w:rFonts w:eastAsiaTheme="minorHAnsi"/>
          <w:bCs/>
        </w:rPr>
        <w:t xml:space="preserve"> to lower response rates.  </w:t>
      </w:r>
      <w:r w:rsidR="00646F00">
        <w:rPr>
          <w:rFonts w:eastAsiaTheme="minorHAnsi"/>
          <w:bCs/>
        </w:rPr>
        <w:t>Figure 4</w:t>
      </w:r>
      <w:r>
        <w:rPr>
          <w:rFonts w:eastAsiaTheme="minorHAnsi"/>
          <w:bCs/>
        </w:rPr>
        <w:t xml:space="preserve"> </w:t>
      </w:r>
      <w:r w:rsidRPr="00B33F0F">
        <w:rPr>
          <w:rFonts w:eastAsiaTheme="minorHAnsi"/>
          <w:bCs/>
        </w:rPr>
        <w:t>indicates a slight trend for the opposite; the more successful interviewers work multiple surveys.</w:t>
      </w:r>
    </w:p>
    <w:p w14:paraId="0F536EB6" w14:textId="77777777" w:rsidR="00EF1F98" w:rsidRPr="00B33F0F" w:rsidRDefault="00EF1F98" w:rsidP="00EF1F98">
      <w:pPr>
        <w:autoSpaceDE w:val="0"/>
        <w:autoSpaceDN w:val="0"/>
        <w:adjustRightInd w:val="0"/>
        <w:rPr>
          <w:rFonts w:eastAsiaTheme="minorHAnsi"/>
          <w:bCs/>
        </w:rPr>
      </w:pPr>
    </w:p>
    <w:p w14:paraId="56A902E8" w14:textId="77777777" w:rsidR="00646F00" w:rsidRDefault="00646F00" w:rsidP="001403A5">
      <w:pPr>
        <w:spacing w:after="160" w:line="259" w:lineRule="auto"/>
        <w:rPr>
          <w:rFonts w:eastAsiaTheme="minorHAnsi"/>
          <w:bCs/>
          <w:lang w:val="en-US"/>
        </w:rPr>
      </w:pPr>
    </w:p>
    <w:p w14:paraId="2CE15294" w14:textId="77777777" w:rsidR="00646F00" w:rsidRDefault="00646F00" w:rsidP="001403A5">
      <w:pPr>
        <w:spacing w:after="160" w:line="259" w:lineRule="auto"/>
        <w:rPr>
          <w:rFonts w:eastAsiaTheme="minorHAnsi"/>
          <w:bCs/>
          <w:lang w:val="en-US"/>
        </w:rPr>
      </w:pPr>
    </w:p>
    <w:p w14:paraId="5B29B881" w14:textId="77777777" w:rsidR="00646F00" w:rsidRDefault="00646F00" w:rsidP="001403A5">
      <w:pPr>
        <w:spacing w:after="160" w:line="259" w:lineRule="auto"/>
        <w:rPr>
          <w:rFonts w:eastAsiaTheme="minorHAnsi"/>
          <w:bCs/>
          <w:lang w:val="en-US"/>
        </w:rPr>
      </w:pPr>
    </w:p>
    <w:p w14:paraId="6A98044D" w14:textId="77777777" w:rsidR="00646F00" w:rsidRDefault="00646F00" w:rsidP="001403A5">
      <w:pPr>
        <w:spacing w:after="160" w:line="259" w:lineRule="auto"/>
        <w:rPr>
          <w:rFonts w:eastAsiaTheme="minorHAnsi"/>
          <w:bCs/>
          <w:lang w:val="en-US"/>
        </w:rPr>
      </w:pPr>
    </w:p>
    <w:p w14:paraId="64E9FD33" w14:textId="77777777" w:rsidR="00646F00" w:rsidRDefault="00646F00" w:rsidP="001403A5">
      <w:pPr>
        <w:spacing w:after="160" w:line="259" w:lineRule="auto"/>
        <w:rPr>
          <w:rFonts w:eastAsiaTheme="minorHAnsi"/>
          <w:bCs/>
          <w:lang w:val="en-US"/>
        </w:rPr>
      </w:pPr>
    </w:p>
    <w:p w14:paraId="7FA377B2" w14:textId="77777777" w:rsidR="00646F00" w:rsidRDefault="00646F00" w:rsidP="001403A5">
      <w:pPr>
        <w:spacing w:after="160" w:line="259" w:lineRule="auto"/>
        <w:rPr>
          <w:rFonts w:eastAsiaTheme="minorHAnsi"/>
          <w:bCs/>
          <w:lang w:val="en-US"/>
        </w:rPr>
      </w:pPr>
    </w:p>
    <w:p w14:paraId="6AE85E1D" w14:textId="44589D2D" w:rsidR="00FB7474" w:rsidRDefault="00646F00" w:rsidP="001403A5">
      <w:pPr>
        <w:spacing w:after="160" w:line="259" w:lineRule="auto"/>
        <w:rPr>
          <w:rFonts w:eastAsiaTheme="minorHAnsi"/>
          <w:b/>
          <w:bCs/>
          <w:sz w:val="32"/>
          <w:szCs w:val="32"/>
          <w:lang w:val="en-US"/>
        </w:rPr>
      </w:pPr>
      <w:r>
        <w:rPr>
          <w:rFonts w:eastAsiaTheme="minorHAnsi"/>
          <w:bCs/>
          <w:lang w:val="en-US"/>
        </w:rPr>
        <w:t>Figure 4</w:t>
      </w:r>
      <w:r w:rsidR="00404A89" w:rsidRPr="00EF1F98">
        <w:rPr>
          <w:rFonts w:eastAsiaTheme="minorHAnsi"/>
          <w:bCs/>
          <w:lang w:val="en-US"/>
        </w:rPr>
        <w:t>:</w:t>
      </w:r>
      <w:r w:rsidR="00404A89">
        <w:rPr>
          <w:rFonts w:eastAsiaTheme="minorHAnsi"/>
          <w:b/>
          <w:bCs/>
          <w:sz w:val="32"/>
          <w:szCs w:val="32"/>
          <w:lang w:val="en-US"/>
        </w:rPr>
        <w:t xml:space="preserve"> </w:t>
      </w:r>
      <w:r w:rsidR="00404A89" w:rsidRPr="00EF1F98">
        <w:rPr>
          <w:rFonts w:eastAsiaTheme="minorHAnsi"/>
          <w:b/>
          <w:bCs/>
        </w:rPr>
        <w:t>Response rates and number of additional surveys worked</w:t>
      </w:r>
    </w:p>
    <w:p w14:paraId="1FA47348" w14:textId="2E7F4D26" w:rsidR="00FB7474" w:rsidRDefault="00FB7474" w:rsidP="00461965">
      <w:pPr>
        <w:autoSpaceDE w:val="0"/>
        <w:autoSpaceDN w:val="0"/>
        <w:adjustRightInd w:val="0"/>
        <w:rPr>
          <w:rFonts w:eastAsiaTheme="minorHAnsi"/>
          <w:b/>
          <w:bCs/>
          <w:sz w:val="32"/>
          <w:szCs w:val="32"/>
          <w:lang w:val="en-US"/>
        </w:rPr>
      </w:pPr>
      <w:r w:rsidRPr="00FB7474">
        <w:rPr>
          <w:rFonts w:eastAsiaTheme="minorHAnsi"/>
          <w:b/>
          <w:bCs/>
          <w:noProof/>
          <w:sz w:val="32"/>
          <w:szCs w:val="32"/>
          <w:lang w:val="en-US"/>
        </w:rPr>
        <w:drawing>
          <wp:inline distT="0" distB="0" distL="0" distR="0" wp14:anchorId="64BF6938" wp14:editId="014624D7">
            <wp:extent cx="2647950" cy="2041034"/>
            <wp:effectExtent l="0" t="0" r="0" b="0"/>
            <wp:docPr id="31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7"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2603" cy="2060036"/>
                    </a:xfrm>
                    <a:prstGeom prst="rect">
                      <a:avLst/>
                    </a:prstGeom>
                    <a:noFill/>
                    <a:ln>
                      <a:noFill/>
                    </a:ln>
                    <a:extLst/>
                  </pic:spPr>
                </pic:pic>
              </a:graphicData>
            </a:graphic>
          </wp:inline>
        </w:drawing>
      </w:r>
    </w:p>
    <w:p w14:paraId="4593EAF1" w14:textId="77777777" w:rsidR="00646F00" w:rsidRDefault="00646F00" w:rsidP="001403A5">
      <w:pPr>
        <w:spacing w:line="259" w:lineRule="auto"/>
        <w:rPr>
          <w:rFonts w:eastAsiaTheme="minorHAnsi"/>
          <w:bCs/>
        </w:rPr>
        <w:sectPr w:rsidR="00646F00" w:rsidSect="00646F00">
          <w:type w:val="continuous"/>
          <w:pgSz w:w="12240" w:h="15840"/>
          <w:pgMar w:top="720" w:right="720" w:bottom="720" w:left="720" w:header="720" w:footer="720" w:gutter="0"/>
          <w:cols w:num="2" w:space="720"/>
          <w:docGrid w:linePitch="360"/>
        </w:sectPr>
      </w:pPr>
    </w:p>
    <w:p w14:paraId="450637E5" w14:textId="2D8AEC31" w:rsidR="001403A5" w:rsidRDefault="001403A5" w:rsidP="001403A5">
      <w:pPr>
        <w:spacing w:line="259" w:lineRule="auto"/>
        <w:rPr>
          <w:rFonts w:eastAsiaTheme="minorHAnsi"/>
          <w:bCs/>
        </w:rPr>
      </w:pPr>
    </w:p>
    <w:p w14:paraId="00EC54F4" w14:textId="5B67E9E0" w:rsidR="00404A89" w:rsidRPr="00B12AAC" w:rsidRDefault="001403A5" w:rsidP="00B12AAC">
      <w:pPr>
        <w:spacing w:after="160" w:line="259" w:lineRule="auto"/>
        <w:rPr>
          <w:rFonts w:eastAsiaTheme="minorHAnsi"/>
          <w:bCs/>
          <w:i/>
        </w:rPr>
      </w:pPr>
      <w:r w:rsidRPr="001403A5">
        <w:rPr>
          <w:rFonts w:eastAsiaTheme="minorHAnsi"/>
          <w:bCs/>
          <w:i/>
        </w:rPr>
        <w:t>Experience conducting the CE survey</w:t>
      </w:r>
    </w:p>
    <w:p w14:paraId="5FCC35D5" w14:textId="77777777" w:rsidR="00B12AAC" w:rsidRDefault="00B12AAC" w:rsidP="001403A5">
      <w:pPr>
        <w:autoSpaceDE w:val="0"/>
        <w:autoSpaceDN w:val="0"/>
        <w:adjustRightInd w:val="0"/>
        <w:rPr>
          <w:rFonts w:eastAsiaTheme="minorHAnsi"/>
          <w:bCs/>
        </w:rPr>
        <w:sectPr w:rsidR="00B12AAC" w:rsidSect="00646F00">
          <w:type w:val="continuous"/>
          <w:pgSz w:w="12240" w:h="15840"/>
          <w:pgMar w:top="720" w:right="720" w:bottom="720" w:left="720" w:header="720" w:footer="720" w:gutter="0"/>
          <w:cols w:space="720"/>
          <w:docGrid w:linePitch="360"/>
        </w:sectPr>
      </w:pPr>
    </w:p>
    <w:p w14:paraId="3A8CD477" w14:textId="04553645" w:rsidR="001403A5" w:rsidRDefault="001403A5" w:rsidP="001403A5">
      <w:pPr>
        <w:autoSpaceDE w:val="0"/>
        <w:autoSpaceDN w:val="0"/>
        <w:adjustRightInd w:val="0"/>
        <w:rPr>
          <w:rFonts w:eastAsiaTheme="minorHAnsi"/>
          <w:bCs/>
        </w:rPr>
      </w:pPr>
      <w:r w:rsidRPr="00B33F0F">
        <w:rPr>
          <w:rFonts w:eastAsiaTheme="minorHAnsi"/>
          <w:bCs/>
        </w:rPr>
        <w:t>Early studies of experience showed a learning curve, where the more experience an interviewer gets</w:t>
      </w:r>
      <w:r w:rsidR="00B12AAC">
        <w:rPr>
          <w:rFonts w:eastAsiaTheme="minorHAnsi"/>
          <w:bCs/>
        </w:rPr>
        <w:t>,</w:t>
      </w:r>
      <w:r w:rsidRPr="00B33F0F">
        <w:rPr>
          <w:rFonts w:eastAsiaTheme="minorHAnsi"/>
          <w:bCs/>
        </w:rPr>
        <w:t xml:space="preserve"> the better they get at getting interviews</w:t>
      </w:r>
      <w:r w:rsidR="00585CBB">
        <w:rPr>
          <w:rFonts w:eastAsiaTheme="minorHAnsi"/>
          <w:bCs/>
        </w:rPr>
        <w:t xml:space="preserve"> (Olson</w:t>
      </w:r>
      <w:r w:rsidR="00585CBB" w:rsidRPr="00585CBB">
        <w:t xml:space="preserve"> </w:t>
      </w:r>
      <w:r w:rsidR="00585CBB">
        <w:rPr>
          <w:rFonts w:eastAsiaTheme="minorHAnsi"/>
          <w:bCs/>
        </w:rPr>
        <w:t xml:space="preserve">and </w:t>
      </w:r>
      <w:r w:rsidR="00585CBB" w:rsidRPr="00585CBB">
        <w:rPr>
          <w:rFonts w:eastAsiaTheme="minorHAnsi"/>
          <w:bCs/>
        </w:rPr>
        <w:t>B</w:t>
      </w:r>
      <w:r w:rsidR="00585CBB">
        <w:rPr>
          <w:rFonts w:eastAsiaTheme="minorHAnsi"/>
          <w:bCs/>
        </w:rPr>
        <w:t>ilgen</w:t>
      </w:r>
      <w:r w:rsidR="00646F00">
        <w:rPr>
          <w:rFonts w:eastAsiaTheme="minorHAnsi"/>
          <w:bCs/>
        </w:rPr>
        <w:t xml:space="preserve"> 2011</w:t>
      </w:r>
      <w:r w:rsidR="00585CBB">
        <w:rPr>
          <w:rFonts w:eastAsiaTheme="minorHAnsi"/>
          <w:bCs/>
        </w:rPr>
        <w:t>)</w:t>
      </w:r>
      <w:r w:rsidRPr="00B33F0F">
        <w:rPr>
          <w:rFonts w:eastAsiaTheme="minorHAnsi"/>
          <w:bCs/>
        </w:rPr>
        <w:t>.  For the CE</w:t>
      </w:r>
      <w:r>
        <w:rPr>
          <w:rFonts w:eastAsiaTheme="minorHAnsi"/>
          <w:bCs/>
        </w:rPr>
        <w:t>, however,</w:t>
      </w:r>
      <w:r w:rsidRPr="00B33F0F">
        <w:rPr>
          <w:rFonts w:eastAsiaTheme="minorHAnsi"/>
          <w:bCs/>
        </w:rPr>
        <w:t xml:space="preserve"> there doesn’t seem to be a relationship between experience and interview rate.  </w:t>
      </w:r>
      <w:r>
        <w:rPr>
          <w:rFonts w:eastAsiaTheme="minorHAnsi"/>
          <w:bCs/>
        </w:rPr>
        <w:t xml:space="preserve">This null relationship is likely due to </w:t>
      </w:r>
      <w:r w:rsidRPr="00B33F0F">
        <w:rPr>
          <w:rFonts w:eastAsiaTheme="minorHAnsi"/>
          <w:bCs/>
        </w:rPr>
        <w:t xml:space="preserve">the </w:t>
      </w:r>
      <w:r>
        <w:rPr>
          <w:rFonts w:eastAsiaTheme="minorHAnsi"/>
          <w:bCs/>
        </w:rPr>
        <w:t xml:space="preserve">effectiveness of the </w:t>
      </w:r>
      <w:r w:rsidRPr="00B33F0F">
        <w:rPr>
          <w:rFonts w:eastAsiaTheme="minorHAnsi"/>
          <w:bCs/>
        </w:rPr>
        <w:t>Census training program.</w:t>
      </w:r>
    </w:p>
    <w:p w14:paraId="20DD4D60" w14:textId="77777777" w:rsidR="001403A5" w:rsidRPr="00B33F0F" w:rsidRDefault="001403A5" w:rsidP="001403A5">
      <w:pPr>
        <w:autoSpaceDE w:val="0"/>
        <w:autoSpaceDN w:val="0"/>
        <w:adjustRightInd w:val="0"/>
        <w:rPr>
          <w:rFonts w:eastAsiaTheme="minorHAnsi"/>
          <w:bCs/>
        </w:rPr>
      </w:pPr>
    </w:p>
    <w:p w14:paraId="0DA3A9BD" w14:textId="77777777" w:rsidR="00B12AAC" w:rsidRDefault="00B12AAC" w:rsidP="00461965">
      <w:pPr>
        <w:autoSpaceDE w:val="0"/>
        <w:autoSpaceDN w:val="0"/>
        <w:adjustRightInd w:val="0"/>
        <w:rPr>
          <w:rFonts w:eastAsiaTheme="minorHAnsi"/>
          <w:bCs/>
          <w:lang w:val="en-US"/>
        </w:rPr>
      </w:pPr>
    </w:p>
    <w:p w14:paraId="5AB377DF" w14:textId="77777777" w:rsidR="00B12AAC" w:rsidRDefault="00B12AAC" w:rsidP="00461965">
      <w:pPr>
        <w:autoSpaceDE w:val="0"/>
        <w:autoSpaceDN w:val="0"/>
        <w:adjustRightInd w:val="0"/>
        <w:rPr>
          <w:rFonts w:eastAsiaTheme="minorHAnsi"/>
          <w:bCs/>
          <w:lang w:val="en-US"/>
        </w:rPr>
      </w:pPr>
    </w:p>
    <w:p w14:paraId="320A9967" w14:textId="77777777" w:rsidR="00B12AAC" w:rsidRDefault="00B12AAC" w:rsidP="00461965">
      <w:pPr>
        <w:autoSpaceDE w:val="0"/>
        <w:autoSpaceDN w:val="0"/>
        <w:adjustRightInd w:val="0"/>
        <w:rPr>
          <w:rFonts w:eastAsiaTheme="minorHAnsi"/>
          <w:bCs/>
          <w:lang w:val="en-US"/>
        </w:rPr>
      </w:pPr>
    </w:p>
    <w:p w14:paraId="5BABD3C4" w14:textId="77777777" w:rsidR="00B12AAC" w:rsidRDefault="00B12AAC" w:rsidP="00461965">
      <w:pPr>
        <w:autoSpaceDE w:val="0"/>
        <w:autoSpaceDN w:val="0"/>
        <w:adjustRightInd w:val="0"/>
        <w:rPr>
          <w:rFonts w:eastAsiaTheme="minorHAnsi"/>
          <w:bCs/>
          <w:lang w:val="en-US"/>
        </w:rPr>
      </w:pPr>
    </w:p>
    <w:p w14:paraId="69E7EDC0" w14:textId="77777777" w:rsidR="00B12AAC" w:rsidRDefault="00B12AAC" w:rsidP="00461965">
      <w:pPr>
        <w:autoSpaceDE w:val="0"/>
        <w:autoSpaceDN w:val="0"/>
        <w:adjustRightInd w:val="0"/>
        <w:rPr>
          <w:rFonts w:eastAsiaTheme="minorHAnsi"/>
          <w:bCs/>
          <w:lang w:val="en-US"/>
        </w:rPr>
      </w:pPr>
    </w:p>
    <w:p w14:paraId="0198E001" w14:textId="77777777" w:rsidR="00B12AAC" w:rsidRDefault="00B12AAC" w:rsidP="00461965">
      <w:pPr>
        <w:autoSpaceDE w:val="0"/>
        <w:autoSpaceDN w:val="0"/>
        <w:adjustRightInd w:val="0"/>
        <w:rPr>
          <w:rFonts w:eastAsiaTheme="minorHAnsi"/>
          <w:bCs/>
          <w:lang w:val="en-US"/>
        </w:rPr>
      </w:pPr>
    </w:p>
    <w:p w14:paraId="60D64680" w14:textId="77777777" w:rsidR="00B12AAC" w:rsidRDefault="00B12AAC" w:rsidP="00461965">
      <w:pPr>
        <w:autoSpaceDE w:val="0"/>
        <w:autoSpaceDN w:val="0"/>
        <w:adjustRightInd w:val="0"/>
        <w:rPr>
          <w:rFonts w:eastAsiaTheme="minorHAnsi"/>
          <w:bCs/>
          <w:lang w:val="en-US"/>
        </w:rPr>
      </w:pPr>
    </w:p>
    <w:p w14:paraId="75EFDC49" w14:textId="3090CEE5" w:rsidR="00FB7474" w:rsidRPr="001403A5" w:rsidRDefault="00404A89" w:rsidP="00461965">
      <w:pPr>
        <w:autoSpaceDE w:val="0"/>
        <w:autoSpaceDN w:val="0"/>
        <w:adjustRightInd w:val="0"/>
        <w:rPr>
          <w:rFonts w:eastAsiaTheme="minorHAnsi"/>
          <w:b/>
          <w:bCs/>
        </w:rPr>
      </w:pPr>
      <w:r w:rsidRPr="001403A5">
        <w:rPr>
          <w:rFonts w:eastAsiaTheme="minorHAnsi"/>
          <w:bCs/>
          <w:lang w:val="en-US"/>
        </w:rPr>
        <w:t xml:space="preserve">Figure </w:t>
      </w:r>
      <w:r w:rsidR="001403A5">
        <w:rPr>
          <w:rFonts w:eastAsiaTheme="minorHAnsi"/>
          <w:bCs/>
          <w:lang w:val="en-US"/>
        </w:rPr>
        <w:t>7</w:t>
      </w:r>
      <w:r w:rsidRPr="001403A5">
        <w:rPr>
          <w:rFonts w:eastAsiaTheme="minorHAnsi"/>
          <w:bCs/>
          <w:lang w:val="en-US"/>
        </w:rPr>
        <w:t>:</w:t>
      </w:r>
      <w:r>
        <w:rPr>
          <w:rFonts w:eastAsiaTheme="minorHAnsi"/>
          <w:b/>
          <w:bCs/>
          <w:sz w:val="32"/>
          <w:szCs w:val="32"/>
          <w:lang w:val="en-US"/>
        </w:rPr>
        <w:t xml:space="preserve"> </w:t>
      </w:r>
      <w:r w:rsidRPr="001403A5">
        <w:rPr>
          <w:rFonts w:eastAsiaTheme="minorHAnsi"/>
          <w:b/>
          <w:bCs/>
        </w:rPr>
        <w:t>Response rates and months working on CE</w:t>
      </w:r>
    </w:p>
    <w:p w14:paraId="48EA5AB0" w14:textId="1A24F75F" w:rsidR="00FB7474" w:rsidRDefault="00FB7474" w:rsidP="00461965">
      <w:pPr>
        <w:autoSpaceDE w:val="0"/>
        <w:autoSpaceDN w:val="0"/>
        <w:adjustRightInd w:val="0"/>
        <w:rPr>
          <w:rFonts w:eastAsiaTheme="minorHAnsi"/>
          <w:b/>
          <w:bCs/>
          <w:sz w:val="32"/>
          <w:szCs w:val="32"/>
          <w:lang w:val="en-US"/>
        </w:rPr>
      </w:pPr>
      <w:r w:rsidRPr="00FB7474">
        <w:rPr>
          <w:rFonts w:eastAsiaTheme="minorHAnsi"/>
          <w:b/>
          <w:bCs/>
          <w:noProof/>
          <w:sz w:val="32"/>
          <w:szCs w:val="32"/>
          <w:lang w:val="en-US"/>
        </w:rPr>
        <w:drawing>
          <wp:inline distT="0" distB="0" distL="0" distR="0" wp14:anchorId="1732C6DD" wp14:editId="1BDE81E0">
            <wp:extent cx="2442527" cy="2178050"/>
            <wp:effectExtent l="0" t="0" r="0" b="0"/>
            <wp:docPr id="35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3" name="Picture 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5615" cy="2207555"/>
                    </a:xfrm>
                    <a:prstGeom prst="rect">
                      <a:avLst/>
                    </a:prstGeom>
                    <a:noFill/>
                    <a:ln>
                      <a:noFill/>
                    </a:ln>
                    <a:extLst/>
                  </pic:spPr>
                </pic:pic>
              </a:graphicData>
            </a:graphic>
          </wp:inline>
        </w:drawing>
      </w:r>
    </w:p>
    <w:p w14:paraId="25C83B9D" w14:textId="77777777" w:rsidR="00B12AAC" w:rsidRDefault="00B12AAC" w:rsidP="00461965">
      <w:pPr>
        <w:autoSpaceDE w:val="0"/>
        <w:autoSpaceDN w:val="0"/>
        <w:adjustRightInd w:val="0"/>
        <w:rPr>
          <w:rFonts w:eastAsiaTheme="minorHAnsi"/>
          <w:b/>
          <w:bCs/>
          <w:sz w:val="32"/>
          <w:szCs w:val="32"/>
          <w:lang w:val="en-US"/>
        </w:rPr>
        <w:sectPr w:rsidR="00B12AAC" w:rsidSect="00B12AAC">
          <w:type w:val="continuous"/>
          <w:pgSz w:w="12240" w:h="15840"/>
          <w:pgMar w:top="720" w:right="720" w:bottom="720" w:left="720" w:header="720" w:footer="720" w:gutter="0"/>
          <w:cols w:num="2" w:space="720"/>
          <w:docGrid w:linePitch="360"/>
        </w:sectPr>
      </w:pPr>
    </w:p>
    <w:p w14:paraId="664E6447" w14:textId="383A0B17" w:rsidR="00FB7474" w:rsidRDefault="00FB7474" w:rsidP="00461965">
      <w:pPr>
        <w:autoSpaceDE w:val="0"/>
        <w:autoSpaceDN w:val="0"/>
        <w:adjustRightInd w:val="0"/>
        <w:rPr>
          <w:rFonts w:eastAsiaTheme="minorHAnsi"/>
          <w:b/>
          <w:bCs/>
          <w:sz w:val="32"/>
          <w:szCs w:val="32"/>
          <w:lang w:val="en-US"/>
        </w:rPr>
      </w:pPr>
    </w:p>
    <w:p w14:paraId="2DA63064" w14:textId="77777777" w:rsidR="001403A5" w:rsidRPr="001403A5" w:rsidRDefault="001403A5" w:rsidP="001403A5">
      <w:pPr>
        <w:autoSpaceDE w:val="0"/>
        <w:autoSpaceDN w:val="0"/>
        <w:adjustRightInd w:val="0"/>
        <w:rPr>
          <w:rFonts w:eastAsiaTheme="minorHAnsi"/>
          <w:bCs/>
          <w:i/>
          <w:lang w:val="en-US"/>
        </w:rPr>
      </w:pPr>
      <w:r w:rsidRPr="001403A5">
        <w:rPr>
          <w:rFonts w:eastAsiaTheme="minorHAnsi"/>
          <w:bCs/>
          <w:i/>
          <w:lang w:val="en-US"/>
        </w:rPr>
        <w:t>Multilevel model</w:t>
      </w:r>
    </w:p>
    <w:p w14:paraId="4C71325E" w14:textId="540FAEAF" w:rsidR="001403A5" w:rsidRDefault="001403A5" w:rsidP="001403A5">
      <w:pPr>
        <w:autoSpaceDE w:val="0"/>
        <w:autoSpaceDN w:val="0"/>
        <w:adjustRightInd w:val="0"/>
        <w:rPr>
          <w:rFonts w:eastAsiaTheme="minorHAnsi"/>
          <w:bCs/>
          <w:lang w:val="en-US"/>
        </w:rPr>
      </w:pPr>
      <w:r w:rsidRPr="00B33F0F">
        <w:rPr>
          <w:rFonts w:eastAsiaTheme="minorHAnsi"/>
          <w:bCs/>
          <w:lang w:val="en-US"/>
        </w:rPr>
        <w:t xml:space="preserve">A multilevel model (R lme4, logistic link) was be used to examine if interviewer effects on nonresponse varied </w:t>
      </w:r>
      <w:r w:rsidR="004F28BA">
        <w:rPr>
          <w:rFonts w:eastAsiaTheme="minorHAnsi"/>
          <w:bCs/>
          <w:lang w:val="en-US"/>
        </w:rPr>
        <w:t xml:space="preserve">by the </w:t>
      </w:r>
      <w:r w:rsidRPr="00B33F0F">
        <w:rPr>
          <w:rFonts w:eastAsiaTheme="minorHAnsi"/>
          <w:bCs/>
          <w:lang w:val="en-US"/>
        </w:rPr>
        <w:t>predictors</w:t>
      </w:r>
      <w:r w:rsidR="004F28BA">
        <w:rPr>
          <w:rFonts w:eastAsiaTheme="minorHAnsi"/>
          <w:bCs/>
          <w:lang w:val="en-US"/>
        </w:rPr>
        <w:t xml:space="preserve"> explored so far</w:t>
      </w:r>
      <w:r w:rsidRPr="00B33F0F">
        <w:rPr>
          <w:rFonts w:eastAsiaTheme="minorHAnsi"/>
          <w:bCs/>
          <w:lang w:val="en-US"/>
        </w:rPr>
        <w:t xml:space="preserve">.  The slopes (random effects) of interviewers </w:t>
      </w:r>
      <w:r w:rsidR="004F28BA">
        <w:rPr>
          <w:rFonts w:eastAsiaTheme="minorHAnsi"/>
          <w:bCs/>
          <w:lang w:val="en-US"/>
        </w:rPr>
        <w:t xml:space="preserve">were </w:t>
      </w:r>
      <w:r w:rsidRPr="00B33F0F">
        <w:rPr>
          <w:rFonts w:eastAsiaTheme="minorHAnsi"/>
          <w:bCs/>
          <w:lang w:val="en-US"/>
        </w:rPr>
        <w:t xml:space="preserve">used to identify those interviewers </w:t>
      </w:r>
      <w:r w:rsidR="004F28BA">
        <w:rPr>
          <w:rFonts w:eastAsiaTheme="minorHAnsi"/>
          <w:bCs/>
          <w:lang w:val="en-US"/>
        </w:rPr>
        <w:t xml:space="preserve">who had higher response rates </w:t>
      </w:r>
      <w:r w:rsidRPr="00B33F0F">
        <w:rPr>
          <w:rFonts w:eastAsiaTheme="minorHAnsi"/>
          <w:bCs/>
          <w:lang w:val="en-US"/>
        </w:rPr>
        <w:t xml:space="preserve">after adjusting for </w:t>
      </w:r>
      <w:r w:rsidR="004F28BA">
        <w:rPr>
          <w:rFonts w:eastAsiaTheme="minorHAnsi"/>
          <w:bCs/>
          <w:lang w:val="en-US"/>
        </w:rPr>
        <w:t xml:space="preserve">factors like </w:t>
      </w:r>
      <w:r w:rsidRPr="00B33F0F">
        <w:rPr>
          <w:rFonts w:eastAsiaTheme="minorHAnsi"/>
          <w:bCs/>
          <w:lang w:val="en-US"/>
        </w:rPr>
        <w:t>caseload and contacts.  While some of the predictors predicted nonresponse, the random effect was nonsignificant, indicating the differences between interviewers was small (an I</w:t>
      </w:r>
      <w:r w:rsidR="00646F00">
        <w:rPr>
          <w:rFonts w:eastAsiaTheme="minorHAnsi"/>
          <w:bCs/>
          <w:lang w:val="en-US"/>
        </w:rPr>
        <w:t xml:space="preserve">CC of .14 would indicate the small effect).  </w:t>
      </w:r>
      <w:r w:rsidR="00823498">
        <w:rPr>
          <w:rFonts w:eastAsiaTheme="minorHAnsi"/>
          <w:bCs/>
          <w:lang w:val="en-US"/>
        </w:rPr>
        <w:t>In Table 1, t</w:t>
      </w:r>
      <w:r w:rsidRPr="00B33F0F">
        <w:rPr>
          <w:rFonts w:eastAsiaTheme="minorHAnsi"/>
          <w:bCs/>
          <w:lang w:val="en-US"/>
        </w:rPr>
        <w:t xml:space="preserve">he predictors </w:t>
      </w:r>
      <w:r w:rsidR="00823498">
        <w:rPr>
          <w:rFonts w:eastAsiaTheme="minorHAnsi"/>
          <w:bCs/>
          <w:lang w:val="en-US"/>
        </w:rPr>
        <w:t xml:space="preserve">are </w:t>
      </w:r>
      <w:r w:rsidRPr="00B33F0F">
        <w:rPr>
          <w:rFonts w:eastAsiaTheme="minorHAnsi"/>
          <w:bCs/>
          <w:lang w:val="en-US"/>
        </w:rPr>
        <w:t>grouped</w:t>
      </w:r>
      <w:r w:rsidR="004F28BA">
        <w:rPr>
          <w:rFonts w:eastAsiaTheme="minorHAnsi"/>
          <w:bCs/>
          <w:lang w:val="en-US"/>
        </w:rPr>
        <w:t xml:space="preserve"> by </w:t>
      </w:r>
      <w:r w:rsidR="00B12AAC">
        <w:rPr>
          <w:rFonts w:eastAsiaTheme="minorHAnsi"/>
          <w:bCs/>
          <w:lang w:val="en-US"/>
        </w:rPr>
        <w:t xml:space="preserve">the </w:t>
      </w:r>
      <w:r w:rsidR="004F28BA">
        <w:rPr>
          <w:rFonts w:eastAsiaTheme="minorHAnsi"/>
          <w:bCs/>
          <w:lang w:val="en-US"/>
        </w:rPr>
        <w:t>direction of effect,</w:t>
      </w:r>
      <w:r w:rsidRPr="00B33F0F">
        <w:rPr>
          <w:rFonts w:eastAsiaTheme="minorHAnsi"/>
          <w:bCs/>
          <w:lang w:val="en-US"/>
        </w:rPr>
        <w:t xml:space="preserve"> </w:t>
      </w:r>
      <w:r w:rsidR="004F28BA">
        <w:rPr>
          <w:rFonts w:eastAsiaTheme="minorHAnsi"/>
          <w:bCs/>
          <w:lang w:val="en-US"/>
        </w:rPr>
        <w:t xml:space="preserve">with </w:t>
      </w:r>
      <w:r w:rsidRPr="00B33F0F">
        <w:rPr>
          <w:rFonts w:eastAsiaTheme="minorHAnsi"/>
          <w:bCs/>
          <w:lang w:val="en-US"/>
        </w:rPr>
        <w:t xml:space="preserve">significant positive effects in blue and significant negative effects in orange.  </w:t>
      </w:r>
    </w:p>
    <w:p w14:paraId="18229D3D" w14:textId="77777777" w:rsidR="00823498" w:rsidRPr="00B33F0F" w:rsidRDefault="00823498" w:rsidP="001403A5">
      <w:pPr>
        <w:autoSpaceDE w:val="0"/>
        <w:autoSpaceDN w:val="0"/>
        <w:adjustRightInd w:val="0"/>
        <w:rPr>
          <w:rFonts w:eastAsiaTheme="minorHAnsi"/>
          <w:bCs/>
          <w:lang w:val="en-US"/>
        </w:rPr>
      </w:pPr>
    </w:p>
    <w:p w14:paraId="27BBCBCE" w14:textId="18C817C4" w:rsidR="00FB7474" w:rsidRDefault="00823498" w:rsidP="00FB7474">
      <w:pPr>
        <w:autoSpaceDE w:val="0"/>
        <w:autoSpaceDN w:val="0"/>
        <w:adjustRightInd w:val="0"/>
        <w:rPr>
          <w:rFonts w:eastAsiaTheme="minorHAnsi"/>
          <w:b/>
          <w:bCs/>
          <w:sz w:val="32"/>
          <w:szCs w:val="32"/>
          <w:lang w:val="en-US"/>
        </w:rPr>
      </w:pPr>
      <w:r>
        <w:rPr>
          <w:rFonts w:eastAsiaTheme="minorHAnsi"/>
          <w:bCs/>
          <w:lang w:val="en-US"/>
        </w:rPr>
        <w:t>Table 1</w:t>
      </w:r>
      <w:r w:rsidR="00404A89" w:rsidRPr="00823498">
        <w:rPr>
          <w:rFonts w:eastAsiaTheme="minorHAnsi"/>
          <w:bCs/>
          <w:lang w:val="en-US"/>
        </w:rPr>
        <w:t>:</w:t>
      </w:r>
      <w:r w:rsidR="00404A89">
        <w:rPr>
          <w:rFonts w:eastAsiaTheme="minorHAnsi"/>
          <w:b/>
          <w:bCs/>
          <w:sz w:val="32"/>
          <w:szCs w:val="32"/>
          <w:lang w:val="en-US"/>
        </w:rPr>
        <w:t xml:space="preserve"> </w:t>
      </w:r>
      <w:r w:rsidR="00404A89" w:rsidRPr="00823498">
        <w:rPr>
          <w:rFonts w:eastAsiaTheme="minorHAnsi"/>
          <w:b/>
          <w:bCs/>
        </w:rPr>
        <w:t>Multilevel Model for Nonresponse</w:t>
      </w:r>
    </w:p>
    <w:tbl>
      <w:tblPr>
        <w:tblW w:w="11035" w:type="dxa"/>
        <w:tblInd w:w="-10" w:type="dxa"/>
        <w:tblCellMar>
          <w:left w:w="0" w:type="dxa"/>
          <w:right w:w="0" w:type="dxa"/>
        </w:tblCellMar>
        <w:tblLook w:val="0420" w:firstRow="1" w:lastRow="0" w:firstColumn="0" w:lastColumn="0" w:noHBand="0" w:noVBand="1"/>
      </w:tblPr>
      <w:tblGrid>
        <w:gridCol w:w="3655"/>
        <w:gridCol w:w="2520"/>
        <w:gridCol w:w="4860"/>
      </w:tblGrid>
      <w:tr w:rsidR="009E64C8" w:rsidRPr="00FB7474" w14:paraId="0054FE5A" w14:textId="77777777" w:rsidTr="00823498">
        <w:trPr>
          <w:trHeight w:val="22"/>
        </w:trPr>
        <w:tc>
          <w:tcPr>
            <w:tcW w:w="3655" w:type="dxa"/>
            <w:tcBorders>
              <w:top w:val="single" w:sz="8" w:space="0" w:color="FFFFFF"/>
              <w:left w:val="single" w:sz="8" w:space="0" w:color="FFFFFF"/>
              <w:bottom w:val="single" w:sz="24" w:space="0" w:color="FFFFFF"/>
              <w:right w:val="single" w:sz="8" w:space="0" w:color="FFFFFF"/>
            </w:tcBorders>
            <w:shd w:val="clear" w:color="auto" w:fill="auto"/>
            <w:tcMar>
              <w:top w:w="72" w:type="dxa"/>
              <w:left w:w="152" w:type="dxa"/>
              <w:bottom w:w="72" w:type="dxa"/>
              <w:right w:w="152" w:type="dxa"/>
            </w:tcMar>
            <w:hideMark/>
          </w:tcPr>
          <w:p w14:paraId="5AE5F26F" w14:textId="77777777" w:rsidR="009E64C8" w:rsidRPr="00823498" w:rsidRDefault="009E64C8" w:rsidP="00FB7474">
            <w:pPr>
              <w:autoSpaceDE w:val="0"/>
              <w:autoSpaceDN w:val="0"/>
              <w:adjustRightInd w:val="0"/>
              <w:rPr>
                <w:rFonts w:eastAsiaTheme="minorHAnsi"/>
                <w:bCs/>
                <w:lang w:val="en-US"/>
              </w:rPr>
            </w:pPr>
          </w:p>
        </w:tc>
        <w:tc>
          <w:tcPr>
            <w:tcW w:w="2520" w:type="dxa"/>
            <w:tcBorders>
              <w:top w:val="single" w:sz="8" w:space="0" w:color="FFFFFF"/>
              <w:left w:val="single" w:sz="8" w:space="0" w:color="FFFFFF"/>
              <w:bottom w:val="single" w:sz="24" w:space="0" w:color="FFFFFF"/>
              <w:right w:val="single" w:sz="8" w:space="0" w:color="FFFFFF"/>
            </w:tcBorders>
            <w:shd w:val="clear" w:color="auto" w:fill="auto"/>
            <w:tcMar>
              <w:top w:w="72" w:type="dxa"/>
              <w:left w:w="152" w:type="dxa"/>
              <w:bottom w:w="72" w:type="dxa"/>
              <w:right w:w="152" w:type="dxa"/>
            </w:tcMar>
            <w:hideMark/>
          </w:tcPr>
          <w:p w14:paraId="42927F44" w14:textId="77777777" w:rsidR="009E64C8" w:rsidRPr="00823498" w:rsidRDefault="009E64C8" w:rsidP="00FB7474">
            <w:pPr>
              <w:autoSpaceDE w:val="0"/>
              <w:autoSpaceDN w:val="0"/>
              <w:adjustRightInd w:val="0"/>
              <w:rPr>
                <w:rFonts w:eastAsiaTheme="minorHAnsi"/>
                <w:b/>
                <w:bCs/>
                <w:lang w:val="en-US"/>
              </w:rPr>
            </w:pPr>
            <w:r w:rsidRPr="00823498">
              <w:rPr>
                <w:rFonts w:eastAsiaTheme="minorHAnsi"/>
                <w:b/>
                <w:bCs/>
                <w:lang w:val="en-US"/>
              </w:rPr>
              <w:t>Model 1</w:t>
            </w:r>
          </w:p>
        </w:tc>
        <w:tc>
          <w:tcPr>
            <w:tcW w:w="4860" w:type="dxa"/>
            <w:tcBorders>
              <w:top w:val="single" w:sz="8" w:space="0" w:color="FFFFFF"/>
              <w:left w:val="single" w:sz="8" w:space="0" w:color="FFFFFF"/>
              <w:bottom w:val="single" w:sz="24" w:space="0" w:color="FFFFFF"/>
              <w:right w:val="single" w:sz="8" w:space="0" w:color="FFFFFF"/>
            </w:tcBorders>
            <w:shd w:val="clear" w:color="auto" w:fill="auto"/>
            <w:tcMar>
              <w:top w:w="72" w:type="dxa"/>
              <w:left w:w="152" w:type="dxa"/>
              <w:bottom w:w="72" w:type="dxa"/>
              <w:right w:w="152" w:type="dxa"/>
            </w:tcMar>
            <w:hideMark/>
          </w:tcPr>
          <w:p w14:paraId="09291F9C" w14:textId="77777777" w:rsidR="009E64C8" w:rsidRPr="00823498" w:rsidRDefault="009E64C8" w:rsidP="00FB7474">
            <w:pPr>
              <w:autoSpaceDE w:val="0"/>
              <w:autoSpaceDN w:val="0"/>
              <w:adjustRightInd w:val="0"/>
              <w:rPr>
                <w:rFonts w:eastAsiaTheme="minorHAnsi"/>
                <w:b/>
                <w:bCs/>
                <w:lang w:val="en-US"/>
              </w:rPr>
            </w:pPr>
            <w:r w:rsidRPr="00823498">
              <w:rPr>
                <w:rFonts w:eastAsiaTheme="minorHAnsi"/>
                <w:b/>
                <w:bCs/>
                <w:lang w:val="en-US"/>
              </w:rPr>
              <w:t>Model 2</w:t>
            </w:r>
          </w:p>
        </w:tc>
      </w:tr>
      <w:tr w:rsidR="009E64C8" w:rsidRPr="00FB7474" w14:paraId="034A961F" w14:textId="77777777" w:rsidTr="00823498">
        <w:trPr>
          <w:trHeight w:val="18"/>
        </w:trPr>
        <w:tc>
          <w:tcPr>
            <w:tcW w:w="3655" w:type="dxa"/>
            <w:tcBorders>
              <w:top w:val="single" w:sz="24" w:space="0" w:color="FFFFFF"/>
              <w:left w:val="single" w:sz="8" w:space="0" w:color="FFFFFF"/>
              <w:bottom w:val="single" w:sz="8" w:space="0" w:color="FFFFFF"/>
              <w:right w:val="single" w:sz="8" w:space="0" w:color="FFFFFF"/>
            </w:tcBorders>
            <w:shd w:val="clear" w:color="auto" w:fill="auto"/>
            <w:tcMar>
              <w:top w:w="72" w:type="dxa"/>
              <w:left w:w="152" w:type="dxa"/>
              <w:bottom w:w="72" w:type="dxa"/>
              <w:right w:w="152" w:type="dxa"/>
            </w:tcMar>
            <w:hideMark/>
          </w:tcPr>
          <w:p w14:paraId="57AE7199" w14:textId="77777777" w:rsidR="009E64C8" w:rsidRPr="00823498" w:rsidRDefault="009E64C8" w:rsidP="00FB7474">
            <w:pPr>
              <w:autoSpaceDE w:val="0"/>
              <w:autoSpaceDN w:val="0"/>
              <w:adjustRightInd w:val="0"/>
              <w:rPr>
                <w:rFonts w:eastAsiaTheme="minorHAnsi"/>
                <w:b/>
                <w:bCs/>
                <w:lang w:val="en-US"/>
              </w:rPr>
            </w:pPr>
            <w:r w:rsidRPr="00823498">
              <w:rPr>
                <w:rFonts w:eastAsiaTheme="minorHAnsi"/>
                <w:b/>
                <w:bCs/>
                <w:lang w:val="en-US"/>
              </w:rPr>
              <w:t>Intercept</w:t>
            </w:r>
          </w:p>
        </w:tc>
        <w:tc>
          <w:tcPr>
            <w:tcW w:w="2520" w:type="dxa"/>
            <w:tcBorders>
              <w:top w:val="single" w:sz="24" w:space="0" w:color="FFFFFF"/>
              <w:left w:val="single" w:sz="8" w:space="0" w:color="FFFFFF"/>
              <w:bottom w:val="single" w:sz="8" w:space="0" w:color="FFFFFF"/>
              <w:right w:val="single" w:sz="8" w:space="0" w:color="FFFFFF"/>
            </w:tcBorders>
            <w:shd w:val="clear" w:color="auto" w:fill="auto"/>
            <w:tcMar>
              <w:top w:w="72" w:type="dxa"/>
              <w:left w:w="152" w:type="dxa"/>
              <w:bottom w:w="72" w:type="dxa"/>
              <w:right w:w="152" w:type="dxa"/>
            </w:tcMar>
            <w:hideMark/>
          </w:tcPr>
          <w:p w14:paraId="5A48EF8C" w14:textId="77777777" w:rsidR="009E64C8" w:rsidRPr="00823498" w:rsidRDefault="009E64C8" w:rsidP="00FB7474">
            <w:pPr>
              <w:autoSpaceDE w:val="0"/>
              <w:autoSpaceDN w:val="0"/>
              <w:adjustRightInd w:val="0"/>
              <w:rPr>
                <w:rFonts w:eastAsiaTheme="minorHAnsi"/>
                <w:bCs/>
                <w:lang w:val="en-US"/>
              </w:rPr>
            </w:pPr>
            <w:r w:rsidRPr="00823498">
              <w:rPr>
                <w:rFonts w:eastAsiaTheme="minorHAnsi"/>
                <w:bCs/>
                <w:lang w:val="en-US"/>
              </w:rPr>
              <w:t xml:space="preserve">0.072(0.049) </w:t>
            </w:r>
          </w:p>
        </w:tc>
        <w:tc>
          <w:tcPr>
            <w:tcW w:w="4860" w:type="dxa"/>
            <w:tcBorders>
              <w:top w:val="single" w:sz="24" w:space="0" w:color="FFFFFF"/>
              <w:left w:val="single" w:sz="8" w:space="0" w:color="FFFFFF"/>
              <w:bottom w:val="single" w:sz="8" w:space="0" w:color="FFFFFF"/>
              <w:right w:val="single" w:sz="8" w:space="0" w:color="FFFFFF"/>
            </w:tcBorders>
            <w:shd w:val="clear" w:color="auto" w:fill="auto"/>
            <w:tcMar>
              <w:top w:w="72" w:type="dxa"/>
              <w:left w:w="152" w:type="dxa"/>
              <w:bottom w:w="72" w:type="dxa"/>
              <w:right w:w="152" w:type="dxa"/>
            </w:tcMar>
            <w:hideMark/>
          </w:tcPr>
          <w:p w14:paraId="3B1AA47A" w14:textId="77777777" w:rsidR="009E64C8" w:rsidRPr="00823498" w:rsidRDefault="009E64C8" w:rsidP="00FB7474">
            <w:pPr>
              <w:autoSpaceDE w:val="0"/>
              <w:autoSpaceDN w:val="0"/>
              <w:adjustRightInd w:val="0"/>
              <w:rPr>
                <w:rFonts w:eastAsiaTheme="minorHAnsi"/>
                <w:bCs/>
                <w:lang w:val="en-US"/>
              </w:rPr>
            </w:pPr>
            <w:r w:rsidRPr="00823498">
              <w:rPr>
                <w:rFonts w:eastAsiaTheme="minorHAnsi"/>
                <w:bCs/>
                <w:lang w:val="en-US"/>
              </w:rPr>
              <w:t xml:space="preserve">1.971(0.338) </w:t>
            </w:r>
          </w:p>
        </w:tc>
      </w:tr>
      <w:tr w:rsidR="009E64C8" w:rsidRPr="00FB7474" w14:paraId="142F1CE8" w14:textId="77777777" w:rsidTr="00823498">
        <w:trPr>
          <w:trHeight w:val="52"/>
        </w:trPr>
        <w:tc>
          <w:tcPr>
            <w:tcW w:w="3655" w:type="dxa"/>
            <w:tcBorders>
              <w:top w:val="single" w:sz="8" w:space="0" w:color="FFFFFF"/>
              <w:left w:val="single" w:sz="8" w:space="0" w:color="FFFFFF"/>
              <w:bottom w:val="single" w:sz="8" w:space="0" w:color="FFFFFF"/>
              <w:right w:val="single" w:sz="8" w:space="0" w:color="FFFFFF"/>
            </w:tcBorders>
            <w:shd w:val="clear" w:color="auto" w:fill="9DC3E6"/>
            <w:tcMar>
              <w:top w:w="72" w:type="dxa"/>
              <w:left w:w="152" w:type="dxa"/>
              <w:bottom w:w="72" w:type="dxa"/>
              <w:right w:w="152" w:type="dxa"/>
            </w:tcMar>
            <w:hideMark/>
          </w:tcPr>
          <w:p w14:paraId="5F6DE160" w14:textId="77777777" w:rsidR="009E64C8" w:rsidRPr="00823498" w:rsidRDefault="009E64C8" w:rsidP="00FB7474">
            <w:pPr>
              <w:autoSpaceDE w:val="0"/>
              <w:autoSpaceDN w:val="0"/>
              <w:adjustRightInd w:val="0"/>
              <w:rPr>
                <w:rFonts w:eastAsiaTheme="minorHAnsi"/>
                <w:b/>
                <w:bCs/>
                <w:lang w:val="en-US"/>
              </w:rPr>
            </w:pPr>
            <w:r w:rsidRPr="00823498">
              <w:rPr>
                <w:rFonts w:eastAsiaTheme="minorHAnsi"/>
                <w:b/>
                <w:bCs/>
                <w:lang w:val="en-US"/>
              </w:rPr>
              <w:t>Concerns</w:t>
            </w:r>
          </w:p>
        </w:tc>
        <w:tc>
          <w:tcPr>
            <w:tcW w:w="2520" w:type="dxa"/>
            <w:tcBorders>
              <w:top w:val="single" w:sz="8" w:space="0" w:color="FFFFFF"/>
              <w:left w:val="single" w:sz="8" w:space="0" w:color="FFFFFF"/>
              <w:bottom w:val="single" w:sz="8" w:space="0" w:color="FFFFFF"/>
              <w:right w:val="single" w:sz="8" w:space="0" w:color="FFFFFF"/>
            </w:tcBorders>
            <w:shd w:val="clear" w:color="auto" w:fill="9DC3E6"/>
            <w:tcMar>
              <w:top w:w="72" w:type="dxa"/>
              <w:left w:w="152" w:type="dxa"/>
              <w:bottom w:w="72" w:type="dxa"/>
              <w:right w:w="152" w:type="dxa"/>
            </w:tcMar>
            <w:hideMark/>
          </w:tcPr>
          <w:p w14:paraId="156C0FF9" w14:textId="77777777" w:rsidR="009E64C8" w:rsidRPr="00823498" w:rsidRDefault="009E64C8" w:rsidP="00FB7474">
            <w:pPr>
              <w:autoSpaceDE w:val="0"/>
              <w:autoSpaceDN w:val="0"/>
              <w:adjustRightInd w:val="0"/>
              <w:rPr>
                <w:rFonts w:eastAsiaTheme="minorHAnsi"/>
                <w:bCs/>
                <w:lang w:val="en-US"/>
              </w:rPr>
            </w:pPr>
          </w:p>
        </w:tc>
        <w:tc>
          <w:tcPr>
            <w:tcW w:w="4860" w:type="dxa"/>
            <w:tcBorders>
              <w:top w:val="single" w:sz="8" w:space="0" w:color="FFFFFF"/>
              <w:left w:val="single" w:sz="8" w:space="0" w:color="FFFFFF"/>
              <w:bottom w:val="single" w:sz="8" w:space="0" w:color="FFFFFF"/>
              <w:right w:val="single" w:sz="8" w:space="0" w:color="FFFFFF"/>
            </w:tcBorders>
            <w:shd w:val="clear" w:color="auto" w:fill="9DC3E6"/>
            <w:tcMar>
              <w:top w:w="72" w:type="dxa"/>
              <w:left w:w="152" w:type="dxa"/>
              <w:bottom w:w="72" w:type="dxa"/>
              <w:right w:w="152" w:type="dxa"/>
            </w:tcMar>
            <w:hideMark/>
          </w:tcPr>
          <w:p w14:paraId="6DAD83BE" w14:textId="77777777" w:rsidR="009E64C8" w:rsidRPr="00823498" w:rsidRDefault="009E64C8" w:rsidP="00FB7474">
            <w:pPr>
              <w:autoSpaceDE w:val="0"/>
              <w:autoSpaceDN w:val="0"/>
              <w:adjustRightInd w:val="0"/>
              <w:rPr>
                <w:rFonts w:eastAsiaTheme="minorHAnsi"/>
                <w:bCs/>
                <w:lang w:val="en-US"/>
              </w:rPr>
            </w:pPr>
            <w:r w:rsidRPr="00823498">
              <w:rPr>
                <w:rFonts w:eastAsiaTheme="minorHAnsi"/>
                <w:bCs/>
                <w:lang w:val="en-US"/>
              </w:rPr>
              <w:t>0.096(0.025) (Pr. &lt;.0001)</w:t>
            </w:r>
          </w:p>
        </w:tc>
      </w:tr>
      <w:tr w:rsidR="009E64C8" w:rsidRPr="00FB7474" w14:paraId="7983DEA8" w14:textId="77777777" w:rsidTr="00823498">
        <w:trPr>
          <w:trHeight w:val="22"/>
        </w:trPr>
        <w:tc>
          <w:tcPr>
            <w:tcW w:w="3655" w:type="dxa"/>
            <w:tcBorders>
              <w:top w:val="single" w:sz="8" w:space="0" w:color="FFFFFF"/>
              <w:left w:val="single" w:sz="8" w:space="0" w:color="FFFFFF"/>
              <w:bottom w:val="single" w:sz="8" w:space="0" w:color="FFFFFF"/>
              <w:right w:val="single" w:sz="8" w:space="0" w:color="FFFFFF"/>
            </w:tcBorders>
            <w:shd w:val="clear" w:color="auto" w:fill="9DC3E6"/>
            <w:tcMar>
              <w:top w:w="72" w:type="dxa"/>
              <w:left w:w="152" w:type="dxa"/>
              <w:bottom w:w="72" w:type="dxa"/>
              <w:right w:w="152" w:type="dxa"/>
            </w:tcMar>
            <w:hideMark/>
          </w:tcPr>
          <w:p w14:paraId="6E74B8CF" w14:textId="77777777" w:rsidR="009E64C8" w:rsidRPr="00823498" w:rsidRDefault="009E64C8" w:rsidP="00FB7474">
            <w:pPr>
              <w:autoSpaceDE w:val="0"/>
              <w:autoSpaceDN w:val="0"/>
              <w:adjustRightInd w:val="0"/>
              <w:rPr>
                <w:rFonts w:eastAsiaTheme="minorHAnsi"/>
                <w:b/>
                <w:bCs/>
                <w:lang w:val="en-US"/>
              </w:rPr>
            </w:pPr>
            <w:r w:rsidRPr="00823498">
              <w:rPr>
                <w:rFonts w:eastAsiaTheme="minorHAnsi"/>
                <w:b/>
                <w:bCs/>
                <w:lang w:val="en-US"/>
              </w:rPr>
              <w:t>Total workload</w:t>
            </w:r>
          </w:p>
        </w:tc>
        <w:tc>
          <w:tcPr>
            <w:tcW w:w="2520" w:type="dxa"/>
            <w:tcBorders>
              <w:top w:val="single" w:sz="8" w:space="0" w:color="FFFFFF"/>
              <w:left w:val="single" w:sz="8" w:space="0" w:color="FFFFFF"/>
              <w:bottom w:val="single" w:sz="8" w:space="0" w:color="FFFFFF"/>
              <w:right w:val="single" w:sz="8" w:space="0" w:color="FFFFFF"/>
            </w:tcBorders>
            <w:shd w:val="clear" w:color="auto" w:fill="9DC3E6"/>
            <w:tcMar>
              <w:top w:w="72" w:type="dxa"/>
              <w:left w:w="152" w:type="dxa"/>
              <w:bottom w:w="72" w:type="dxa"/>
              <w:right w:w="152" w:type="dxa"/>
            </w:tcMar>
            <w:hideMark/>
          </w:tcPr>
          <w:p w14:paraId="0EE2D6D0" w14:textId="77777777" w:rsidR="009E64C8" w:rsidRPr="00823498" w:rsidRDefault="009E64C8" w:rsidP="00FB7474">
            <w:pPr>
              <w:autoSpaceDE w:val="0"/>
              <w:autoSpaceDN w:val="0"/>
              <w:adjustRightInd w:val="0"/>
              <w:rPr>
                <w:rFonts w:eastAsiaTheme="minorHAnsi"/>
                <w:bCs/>
                <w:lang w:val="en-US"/>
              </w:rPr>
            </w:pPr>
          </w:p>
        </w:tc>
        <w:tc>
          <w:tcPr>
            <w:tcW w:w="4860" w:type="dxa"/>
            <w:tcBorders>
              <w:top w:val="single" w:sz="8" w:space="0" w:color="FFFFFF"/>
              <w:left w:val="single" w:sz="8" w:space="0" w:color="FFFFFF"/>
              <w:bottom w:val="single" w:sz="8" w:space="0" w:color="FFFFFF"/>
              <w:right w:val="single" w:sz="8" w:space="0" w:color="FFFFFF"/>
            </w:tcBorders>
            <w:shd w:val="clear" w:color="auto" w:fill="9DC3E6"/>
            <w:tcMar>
              <w:top w:w="72" w:type="dxa"/>
              <w:left w:w="152" w:type="dxa"/>
              <w:bottom w:w="72" w:type="dxa"/>
              <w:right w:w="152" w:type="dxa"/>
            </w:tcMar>
            <w:hideMark/>
          </w:tcPr>
          <w:p w14:paraId="2F57958C" w14:textId="77777777" w:rsidR="009E64C8" w:rsidRPr="00823498" w:rsidRDefault="009E64C8" w:rsidP="00FB7474">
            <w:pPr>
              <w:autoSpaceDE w:val="0"/>
              <w:autoSpaceDN w:val="0"/>
              <w:adjustRightInd w:val="0"/>
              <w:rPr>
                <w:rFonts w:eastAsiaTheme="minorHAnsi"/>
                <w:bCs/>
                <w:lang w:val="en-US"/>
              </w:rPr>
            </w:pPr>
            <w:r w:rsidRPr="00823498">
              <w:rPr>
                <w:rFonts w:eastAsiaTheme="minorHAnsi"/>
                <w:bCs/>
                <w:lang w:val="en-US"/>
              </w:rPr>
              <w:t>0.053(0.015) (Pr. =.0003)</w:t>
            </w:r>
          </w:p>
        </w:tc>
      </w:tr>
      <w:tr w:rsidR="009E64C8" w:rsidRPr="00FB7474" w14:paraId="127698EB" w14:textId="77777777" w:rsidTr="00823498">
        <w:trPr>
          <w:trHeight w:val="22"/>
        </w:trPr>
        <w:tc>
          <w:tcPr>
            <w:tcW w:w="3655" w:type="dxa"/>
            <w:tcBorders>
              <w:top w:val="single" w:sz="8" w:space="0" w:color="FFFFFF"/>
              <w:left w:val="single" w:sz="8" w:space="0" w:color="FFFFFF"/>
              <w:bottom w:val="single" w:sz="8" w:space="0" w:color="FFFFFF"/>
              <w:right w:val="single" w:sz="8" w:space="0" w:color="FFFFFF"/>
            </w:tcBorders>
            <w:shd w:val="clear" w:color="auto" w:fill="auto"/>
            <w:tcMar>
              <w:top w:w="72" w:type="dxa"/>
              <w:left w:w="152" w:type="dxa"/>
              <w:bottom w:w="72" w:type="dxa"/>
              <w:right w:w="152" w:type="dxa"/>
            </w:tcMar>
            <w:hideMark/>
          </w:tcPr>
          <w:p w14:paraId="5301C885" w14:textId="78AD638F" w:rsidR="009E64C8" w:rsidRPr="00823498" w:rsidRDefault="009E64C8" w:rsidP="00FB7474">
            <w:pPr>
              <w:autoSpaceDE w:val="0"/>
              <w:autoSpaceDN w:val="0"/>
              <w:adjustRightInd w:val="0"/>
              <w:rPr>
                <w:rFonts w:eastAsiaTheme="minorHAnsi"/>
                <w:b/>
                <w:bCs/>
                <w:lang w:val="en-US"/>
              </w:rPr>
            </w:pPr>
            <w:r w:rsidRPr="00823498">
              <w:rPr>
                <w:rFonts w:eastAsiaTheme="minorHAnsi"/>
                <w:b/>
                <w:bCs/>
                <w:lang w:val="en-US"/>
              </w:rPr>
              <w:t>Months</w:t>
            </w:r>
            <w:r w:rsidR="00B12AAC">
              <w:rPr>
                <w:rFonts w:eastAsiaTheme="minorHAnsi"/>
                <w:b/>
                <w:bCs/>
                <w:lang w:val="en-US"/>
              </w:rPr>
              <w:t xml:space="preserve"> of</w:t>
            </w:r>
            <w:r w:rsidRPr="00823498">
              <w:rPr>
                <w:rFonts w:eastAsiaTheme="minorHAnsi"/>
                <w:b/>
                <w:bCs/>
                <w:lang w:val="en-US"/>
              </w:rPr>
              <w:t xml:space="preserve"> experience</w:t>
            </w:r>
          </w:p>
        </w:tc>
        <w:tc>
          <w:tcPr>
            <w:tcW w:w="2520" w:type="dxa"/>
            <w:tcBorders>
              <w:top w:val="single" w:sz="8" w:space="0" w:color="FFFFFF"/>
              <w:left w:val="single" w:sz="8" w:space="0" w:color="FFFFFF"/>
              <w:bottom w:val="single" w:sz="8" w:space="0" w:color="FFFFFF"/>
              <w:right w:val="single" w:sz="8" w:space="0" w:color="FFFFFF"/>
            </w:tcBorders>
            <w:shd w:val="clear" w:color="auto" w:fill="auto"/>
            <w:tcMar>
              <w:top w:w="72" w:type="dxa"/>
              <w:left w:w="152" w:type="dxa"/>
              <w:bottom w:w="72" w:type="dxa"/>
              <w:right w:w="152" w:type="dxa"/>
            </w:tcMar>
            <w:hideMark/>
          </w:tcPr>
          <w:p w14:paraId="067668F7" w14:textId="77777777" w:rsidR="009E64C8" w:rsidRPr="00823498" w:rsidRDefault="009E64C8" w:rsidP="00FB7474">
            <w:pPr>
              <w:autoSpaceDE w:val="0"/>
              <w:autoSpaceDN w:val="0"/>
              <w:adjustRightInd w:val="0"/>
              <w:rPr>
                <w:rFonts w:eastAsiaTheme="minorHAnsi"/>
                <w:bCs/>
                <w:lang w:val="en-US"/>
              </w:rPr>
            </w:pPr>
          </w:p>
        </w:tc>
        <w:tc>
          <w:tcPr>
            <w:tcW w:w="4860" w:type="dxa"/>
            <w:tcBorders>
              <w:top w:val="single" w:sz="8" w:space="0" w:color="FFFFFF"/>
              <w:left w:val="single" w:sz="8" w:space="0" w:color="FFFFFF"/>
              <w:bottom w:val="single" w:sz="8" w:space="0" w:color="FFFFFF"/>
              <w:right w:val="single" w:sz="8" w:space="0" w:color="FFFFFF"/>
            </w:tcBorders>
            <w:shd w:val="clear" w:color="auto" w:fill="auto"/>
            <w:tcMar>
              <w:top w:w="72" w:type="dxa"/>
              <w:left w:w="152" w:type="dxa"/>
              <w:bottom w:w="72" w:type="dxa"/>
              <w:right w:w="152" w:type="dxa"/>
            </w:tcMar>
            <w:hideMark/>
          </w:tcPr>
          <w:p w14:paraId="07A58C9F" w14:textId="77777777" w:rsidR="009E64C8" w:rsidRPr="00823498" w:rsidRDefault="009E64C8" w:rsidP="00FB7474">
            <w:pPr>
              <w:autoSpaceDE w:val="0"/>
              <w:autoSpaceDN w:val="0"/>
              <w:adjustRightInd w:val="0"/>
              <w:rPr>
                <w:rFonts w:eastAsiaTheme="minorHAnsi"/>
                <w:bCs/>
                <w:lang w:val="en-US"/>
              </w:rPr>
            </w:pPr>
            <w:r w:rsidRPr="00823498">
              <w:rPr>
                <w:rFonts w:eastAsiaTheme="minorHAnsi"/>
                <w:bCs/>
                <w:lang w:val="en-US"/>
              </w:rPr>
              <w:t>0.122(0.063) (Pr.=0.052)</w:t>
            </w:r>
          </w:p>
        </w:tc>
      </w:tr>
      <w:tr w:rsidR="009E64C8" w:rsidRPr="00FB7474" w14:paraId="7CC7B4C4" w14:textId="77777777" w:rsidTr="00823498">
        <w:trPr>
          <w:trHeight w:val="22"/>
        </w:trPr>
        <w:tc>
          <w:tcPr>
            <w:tcW w:w="3655" w:type="dxa"/>
            <w:tcBorders>
              <w:top w:val="single" w:sz="8" w:space="0" w:color="FFFFFF"/>
              <w:left w:val="single" w:sz="8" w:space="0" w:color="FFFFFF"/>
              <w:bottom w:val="single" w:sz="8" w:space="0" w:color="FFFFFF"/>
              <w:right w:val="single" w:sz="8" w:space="0" w:color="FFFFFF"/>
            </w:tcBorders>
            <w:shd w:val="clear" w:color="auto" w:fill="auto"/>
            <w:tcMar>
              <w:top w:w="72" w:type="dxa"/>
              <w:left w:w="152" w:type="dxa"/>
              <w:bottom w:w="72" w:type="dxa"/>
              <w:right w:w="152" w:type="dxa"/>
            </w:tcMar>
            <w:hideMark/>
          </w:tcPr>
          <w:p w14:paraId="6AD533EE" w14:textId="77777777" w:rsidR="009E64C8" w:rsidRPr="00823498" w:rsidRDefault="009E64C8" w:rsidP="00FB7474">
            <w:pPr>
              <w:autoSpaceDE w:val="0"/>
              <w:autoSpaceDN w:val="0"/>
              <w:adjustRightInd w:val="0"/>
              <w:rPr>
                <w:rFonts w:eastAsiaTheme="minorHAnsi"/>
                <w:b/>
                <w:bCs/>
                <w:lang w:val="en-US"/>
              </w:rPr>
            </w:pPr>
            <w:r w:rsidRPr="00823498">
              <w:rPr>
                <w:rFonts w:eastAsiaTheme="minorHAnsi"/>
                <w:b/>
                <w:bCs/>
                <w:lang w:val="en-US"/>
              </w:rPr>
              <w:t>Length of interview</w:t>
            </w:r>
          </w:p>
        </w:tc>
        <w:tc>
          <w:tcPr>
            <w:tcW w:w="2520" w:type="dxa"/>
            <w:tcBorders>
              <w:top w:val="single" w:sz="8" w:space="0" w:color="FFFFFF"/>
              <w:left w:val="single" w:sz="8" w:space="0" w:color="FFFFFF"/>
              <w:bottom w:val="single" w:sz="8" w:space="0" w:color="FFFFFF"/>
              <w:right w:val="single" w:sz="8" w:space="0" w:color="FFFFFF"/>
            </w:tcBorders>
            <w:shd w:val="clear" w:color="auto" w:fill="auto"/>
            <w:tcMar>
              <w:top w:w="72" w:type="dxa"/>
              <w:left w:w="152" w:type="dxa"/>
              <w:bottom w:w="72" w:type="dxa"/>
              <w:right w:w="152" w:type="dxa"/>
            </w:tcMar>
            <w:hideMark/>
          </w:tcPr>
          <w:p w14:paraId="10361305" w14:textId="77777777" w:rsidR="009E64C8" w:rsidRPr="00823498" w:rsidRDefault="009E64C8" w:rsidP="00FB7474">
            <w:pPr>
              <w:autoSpaceDE w:val="0"/>
              <w:autoSpaceDN w:val="0"/>
              <w:adjustRightInd w:val="0"/>
              <w:rPr>
                <w:rFonts w:eastAsiaTheme="minorHAnsi"/>
                <w:bCs/>
                <w:lang w:val="en-US"/>
              </w:rPr>
            </w:pPr>
          </w:p>
        </w:tc>
        <w:tc>
          <w:tcPr>
            <w:tcW w:w="4860" w:type="dxa"/>
            <w:tcBorders>
              <w:top w:val="single" w:sz="8" w:space="0" w:color="FFFFFF"/>
              <w:left w:val="single" w:sz="8" w:space="0" w:color="FFFFFF"/>
              <w:bottom w:val="single" w:sz="8" w:space="0" w:color="FFFFFF"/>
              <w:right w:val="single" w:sz="8" w:space="0" w:color="FFFFFF"/>
            </w:tcBorders>
            <w:shd w:val="clear" w:color="auto" w:fill="auto"/>
            <w:tcMar>
              <w:top w:w="72" w:type="dxa"/>
              <w:left w:w="152" w:type="dxa"/>
              <w:bottom w:w="72" w:type="dxa"/>
              <w:right w:w="152" w:type="dxa"/>
            </w:tcMar>
            <w:hideMark/>
          </w:tcPr>
          <w:p w14:paraId="05846D7A" w14:textId="77777777" w:rsidR="009E64C8" w:rsidRPr="00823498" w:rsidRDefault="009E64C8" w:rsidP="00FB7474">
            <w:pPr>
              <w:autoSpaceDE w:val="0"/>
              <w:autoSpaceDN w:val="0"/>
              <w:adjustRightInd w:val="0"/>
              <w:rPr>
                <w:rFonts w:eastAsiaTheme="minorHAnsi"/>
                <w:bCs/>
                <w:lang w:val="en-US"/>
              </w:rPr>
            </w:pPr>
            <w:r w:rsidRPr="00823498">
              <w:rPr>
                <w:rFonts w:eastAsiaTheme="minorHAnsi"/>
                <w:bCs/>
                <w:lang w:val="en-US"/>
              </w:rPr>
              <w:t xml:space="preserve"> 0.113(0.060) (Pr.=0.058)</w:t>
            </w:r>
          </w:p>
        </w:tc>
      </w:tr>
      <w:tr w:rsidR="009E64C8" w:rsidRPr="00FB7474" w14:paraId="5DDB66B0" w14:textId="77777777" w:rsidTr="00823498">
        <w:trPr>
          <w:trHeight w:val="43"/>
        </w:trPr>
        <w:tc>
          <w:tcPr>
            <w:tcW w:w="3655" w:type="dxa"/>
            <w:tcBorders>
              <w:top w:val="single" w:sz="8" w:space="0" w:color="FFFFFF"/>
              <w:left w:val="single" w:sz="8" w:space="0" w:color="FFFFFF"/>
              <w:bottom w:val="single" w:sz="8" w:space="0" w:color="FFFFFF"/>
              <w:right w:val="single" w:sz="8" w:space="0" w:color="FFFFFF"/>
            </w:tcBorders>
            <w:shd w:val="clear" w:color="auto" w:fill="F8CBAD"/>
            <w:tcMar>
              <w:top w:w="72" w:type="dxa"/>
              <w:left w:w="152" w:type="dxa"/>
              <w:bottom w:w="72" w:type="dxa"/>
              <w:right w:w="152" w:type="dxa"/>
            </w:tcMar>
            <w:hideMark/>
          </w:tcPr>
          <w:p w14:paraId="146ECAFA" w14:textId="77777777" w:rsidR="009E64C8" w:rsidRPr="00823498" w:rsidRDefault="009E64C8" w:rsidP="00FB7474">
            <w:pPr>
              <w:autoSpaceDE w:val="0"/>
              <w:autoSpaceDN w:val="0"/>
              <w:adjustRightInd w:val="0"/>
              <w:rPr>
                <w:rFonts w:eastAsiaTheme="minorHAnsi"/>
                <w:b/>
                <w:bCs/>
                <w:lang w:val="en-US"/>
              </w:rPr>
            </w:pPr>
            <w:r w:rsidRPr="00823498">
              <w:rPr>
                <w:rFonts w:eastAsiaTheme="minorHAnsi"/>
                <w:b/>
                <w:bCs/>
                <w:lang w:val="en-US"/>
              </w:rPr>
              <w:t>Date of first attempted contact</w:t>
            </w:r>
          </w:p>
        </w:tc>
        <w:tc>
          <w:tcPr>
            <w:tcW w:w="2520" w:type="dxa"/>
            <w:tcBorders>
              <w:top w:val="single" w:sz="8" w:space="0" w:color="FFFFFF"/>
              <w:left w:val="single" w:sz="8" w:space="0" w:color="FFFFFF"/>
              <w:bottom w:val="single" w:sz="8" w:space="0" w:color="FFFFFF"/>
              <w:right w:val="single" w:sz="8" w:space="0" w:color="FFFFFF"/>
            </w:tcBorders>
            <w:shd w:val="clear" w:color="auto" w:fill="F8CBAD"/>
            <w:tcMar>
              <w:top w:w="72" w:type="dxa"/>
              <w:left w:w="152" w:type="dxa"/>
              <w:bottom w:w="72" w:type="dxa"/>
              <w:right w:w="152" w:type="dxa"/>
            </w:tcMar>
            <w:hideMark/>
          </w:tcPr>
          <w:p w14:paraId="796D9163" w14:textId="77777777" w:rsidR="009E64C8" w:rsidRPr="00823498" w:rsidRDefault="009E64C8" w:rsidP="00FB7474">
            <w:pPr>
              <w:autoSpaceDE w:val="0"/>
              <w:autoSpaceDN w:val="0"/>
              <w:adjustRightInd w:val="0"/>
              <w:rPr>
                <w:rFonts w:eastAsiaTheme="minorHAnsi"/>
                <w:bCs/>
                <w:lang w:val="en-US"/>
              </w:rPr>
            </w:pPr>
          </w:p>
        </w:tc>
        <w:tc>
          <w:tcPr>
            <w:tcW w:w="4860" w:type="dxa"/>
            <w:tcBorders>
              <w:top w:val="single" w:sz="8" w:space="0" w:color="FFFFFF"/>
              <w:left w:val="single" w:sz="8" w:space="0" w:color="FFFFFF"/>
              <w:bottom w:val="single" w:sz="8" w:space="0" w:color="FFFFFF"/>
              <w:right w:val="single" w:sz="8" w:space="0" w:color="FFFFFF"/>
            </w:tcBorders>
            <w:shd w:val="clear" w:color="auto" w:fill="F8CBAD"/>
            <w:tcMar>
              <w:top w:w="72" w:type="dxa"/>
              <w:left w:w="152" w:type="dxa"/>
              <w:bottom w:w="72" w:type="dxa"/>
              <w:right w:w="152" w:type="dxa"/>
            </w:tcMar>
            <w:hideMark/>
          </w:tcPr>
          <w:p w14:paraId="7B6F887C" w14:textId="77777777" w:rsidR="009E64C8" w:rsidRPr="00823498" w:rsidRDefault="009E64C8" w:rsidP="00FB7474">
            <w:pPr>
              <w:autoSpaceDE w:val="0"/>
              <w:autoSpaceDN w:val="0"/>
              <w:adjustRightInd w:val="0"/>
              <w:rPr>
                <w:rFonts w:eastAsiaTheme="minorHAnsi"/>
                <w:bCs/>
                <w:lang w:val="en-US"/>
              </w:rPr>
            </w:pPr>
            <w:r w:rsidRPr="00823498">
              <w:rPr>
                <w:rFonts w:eastAsiaTheme="minorHAnsi"/>
                <w:bCs/>
                <w:lang w:val="en-US"/>
              </w:rPr>
              <w:t>-0.087(0.005) (Pr. &lt;.0001)</w:t>
            </w:r>
          </w:p>
        </w:tc>
      </w:tr>
      <w:tr w:rsidR="009E64C8" w:rsidRPr="00FB7474" w14:paraId="6494DCB6" w14:textId="77777777" w:rsidTr="00823498">
        <w:trPr>
          <w:trHeight w:val="97"/>
        </w:trPr>
        <w:tc>
          <w:tcPr>
            <w:tcW w:w="3655" w:type="dxa"/>
            <w:tcBorders>
              <w:top w:val="single" w:sz="8" w:space="0" w:color="FFFFFF"/>
              <w:left w:val="single" w:sz="8" w:space="0" w:color="FFFFFF"/>
              <w:bottom w:val="single" w:sz="8" w:space="0" w:color="FFFFFF"/>
              <w:right w:val="single" w:sz="8" w:space="0" w:color="FFFFFF"/>
            </w:tcBorders>
            <w:shd w:val="clear" w:color="auto" w:fill="F8CBAD"/>
            <w:tcMar>
              <w:top w:w="72" w:type="dxa"/>
              <w:left w:w="152" w:type="dxa"/>
              <w:bottom w:w="72" w:type="dxa"/>
              <w:right w:w="152" w:type="dxa"/>
            </w:tcMar>
            <w:hideMark/>
          </w:tcPr>
          <w:p w14:paraId="44FF557D" w14:textId="77777777" w:rsidR="009E64C8" w:rsidRPr="00823498" w:rsidRDefault="009E64C8" w:rsidP="00FB7474">
            <w:pPr>
              <w:autoSpaceDE w:val="0"/>
              <w:autoSpaceDN w:val="0"/>
              <w:adjustRightInd w:val="0"/>
              <w:rPr>
                <w:rFonts w:eastAsiaTheme="minorHAnsi"/>
                <w:b/>
                <w:bCs/>
                <w:lang w:val="en-US"/>
              </w:rPr>
            </w:pPr>
            <w:r w:rsidRPr="00823498">
              <w:rPr>
                <w:rFonts w:eastAsiaTheme="minorHAnsi"/>
                <w:b/>
                <w:bCs/>
                <w:lang w:val="en-US"/>
              </w:rPr>
              <w:t>Number of contacts</w:t>
            </w:r>
          </w:p>
        </w:tc>
        <w:tc>
          <w:tcPr>
            <w:tcW w:w="2520" w:type="dxa"/>
            <w:tcBorders>
              <w:top w:val="single" w:sz="8" w:space="0" w:color="FFFFFF"/>
              <w:left w:val="single" w:sz="8" w:space="0" w:color="FFFFFF"/>
              <w:bottom w:val="single" w:sz="8" w:space="0" w:color="FFFFFF"/>
              <w:right w:val="single" w:sz="8" w:space="0" w:color="FFFFFF"/>
            </w:tcBorders>
            <w:shd w:val="clear" w:color="auto" w:fill="F8CBAD"/>
            <w:tcMar>
              <w:top w:w="72" w:type="dxa"/>
              <w:left w:w="152" w:type="dxa"/>
              <w:bottom w:w="72" w:type="dxa"/>
              <w:right w:w="152" w:type="dxa"/>
            </w:tcMar>
            <w:hideMark/>
          </w:tcPr>
          <w:p w14:paraId="127F82C4" w14:textId="77777777" w:rsidR="009E64C8" w:rsidRPr="00823498" w:rsidRDefault="009E64C8" w:rsidP="00FB7474">
            <w:pPr>
              <w:autoSpaceDE w:val="0"/>
              <w:autoSpaceDN w:val="0"/>
              <w:adjustRightInd w:val="0"/>
              <w:rPr>
                <w:rFonts w:eastAsiaTheme="minorHAnsi"/>
                <w:bCs/>
                <w:lang w:val="en-US"/>
              </w:rPr>
            </w:pPr>
          </w:p>
        </w:tc>
        <w:tc>
          <w:tcPr>
            <w:tcW w:w="4860" w:type="dxa"/>
            <w:tcBorders>
              <w:top w:val="single" w:sz="8" w:space="0" w:color="FFFFFF"/>
              <w:left w:val="single" w:sz="8" w:space="0" w:color="FFFFFF"/>
              <w:bottom w:val="single" w:sz="8" w:space="0" w:color="FFFFFF"/>
              <w:right w:val="single" w:sz="8" w:space="0" w:color="FFFFFF"/>
            </w:tcBorders>
            <w:shd w:val="clear" w:color="auto" w:fill="F8CBAD"/>
            <w:tcMar>
              <w:top w:w="72" w:type="dxa"/>
              <w:left w:w="152" w:type="dxa"/>
              <w:bottom w:w="72" w:type="dxa"/>
              <w:right w:w="152" w:type="dxa"/>
            </w:tcMar>
            <w:hideMark/>
          </w:tcPr>
          <w:p w14:paraId="40C85153" w14:textId="77777777" w:rsidR="009E64C8" w:rsidRPr="00823498" w:rsidRDefault="009E64C8" w:rsidP="00FB7474">
            <w:pPr>
              <w:autoSpaceDE w:val="0"/>
              <w:autoSpaceDN w:val="0"/>
              <w:adjustRightInd w:val="0"/>
              <w:rPr>
                <w:rFonts w:eastAsiaTheme="minorHAnsi"/>
                <w:bCs/>
                <w:lang w:val="en-US"/>
              </w:rPr>
            </w:pPr>
            <w:r w:rsidRPr="00823498">
              <w:rPr>
                <w:rFonts w:eastAsiaTheme="minorHAnsi"/>
                <w:bCs/>
                <w:lang w:val="en-US"/>
              </w:rPr>
              <w:t>-0.101(0.012) (Pr. &lt;.0001)</w:t>
            </w:r>
          </w:p>
        </w:tc>
      </w:tr>
      <w:tr w:rsidR="009E64C8" w:rsidRPr="00FB7474" w14:paraId="5CD40AE9" w14:textId="77777777" w:rsidTr="00823498">
        <w:trPr>
          <w:trHeight w:val="223"/>
        </w:trPr>
        <w:tc>
          <w:tcPr>
            <w:tcW w:w="3655" w:type="dxa"/>
            <w:tcBorders>
              <w:top w:val="single" w:sz="8" w:space="0" w:color="FFFFFF"/>
              <w:left w:val="single" w:sz="8" w:space="0" w:color="FFFFFF"/>
              <w:bottom w:val="single" w:sz="8" w:space="0" w:color="FFFFFF"/>
              <w:right w:val="single" w:sz="8" w:space="0" w:color="FFFFFF"/>
            </w:tcBorders>
            <w:shd w:val="clear" w:color="auto" w:fill="F8CBAD"/>
            <w:tcMar>
              <w:top w:w="72" w:type="dxa"/>
              <w:left w:w="152" w:type="dxa"/>
              <w:bottom w:w="72" w:type="dxa"/>
              <w:right w:w="152" w:type="dxa"/>
            </w:tcMar>
            <w:hideMark/>
          </w:tcPr>
          <w:p w14:paraId="3DE41792" w14:textId="4F447E63" w:rsidR="009E64C8" w:rsidRPr="00823498" w:rsidRDefault="00236A62" w:rsidP="00823498">
            <w:pPr>
              <w:autoSpaceDE w:val="0"/>
              <w:autoSpaceDN w:val="0"/>
              <w:adjustRightInd w:val="0"/>
              <w:rPr>
                <w:rFonts w:eastAsiaTheme="minorHAnsi"/>
                <w:b/>
                <w:bCs/>
                <w:lang w:val="en-US"/>
              </w:rPr>
            </w:pPr>
            <w:r w:rsidRPr="00823498">
              <w:rPr>
                <w:rFonts w:eastAsiaTheme="minorHAnsi"/>
                <w:b/>
                <w:bCs/>
                <w:lang w:val="en-US"/>
              </w:rPr>
              <w:t>CE caseload</w:t>
            </w:r>
          </w:p>
        </w:tc>
        <w:tc>
          <w:tcPr>
            <w:tcW w:w="2520" w:type="dxa"/>
            <w:tcBorders>
              <w:top w:val="single" w:sz="8" w:space="0" w:color="FFFFFF"/>
              <w:left w:val="single" w:sz="8" w:space="0" w:color="FFFFFF"/>
              <w:bottom w:val="single" w:sz="8" w:space="0" w:color="FFFFFF"/>
              <w:right w:val="single" w:sz="8" w:space="0" w:color="FFFFFF"/>
            </w:tcBorders>
            <w:shd w:val="clear" w:color="auto" w:fill="F8CBAD"/>
            <w:tcMar>
              <w:top w:w="72" w:type="dxa"/>
              <w:left w:w="152" w:type="dxa"/>
              <w:bottom w:w="72" w:type="dxa"/>
              <w:right w:w="152" w:type="dxa"/>
            </w:tcMar>
            <w:hideMark/>
          </w:tcPr>
          <w:p w14:paraId="726913A1" w14:textId="77777777" w:rsidR="009E64C8" w:rsidRPr="00823498" w:rsidRDefault="009E64C8" w:rsidP="00FB7474">
            <w:pPr>
              <w:autoSpaceDE w:val="0"/>
              <w:autoSpaceDN w:val="0"/>
              <w:adjustRightInd w:val="0"/>
              <w:rPr>
                <w:rFonts w:eastAsiaTheme="minorHAnsi"/>
                <w:bCs/>
                <w:lang w:val="en-US"/>
              </w:rPr>
            </w:pPr>
          </w:p>
        </w:tc>
        <w:tc>
          <w:tcPr>
            <w:tcW w:w="4860" w:type="dxa"/>
            <w:tcBorders>
              <w:top w:val="single" w:sz="8" w:space="0" w:color="FFFFFF"/>
              <w:left w:val="single" w:sz="8" w:space="0" w:color="FFFFFF"/>
              <w:bottom w:val="single" w:sz="8" w:space="0" w:color="FFFFFF"/>
              <w:right w:val="single" w:sz="8" w:space="0" w:color="FFFFFF"/>
            </w:tcBorders>
            <w:shd w:val="clear" w:color="auto" w:fill="F8CBAD"/>
            <w:tcMar>
              <w:top w:w="72" w:type="dxa"/>
              <w:left w:w="152" w:type="dxa"/>
              <w:bottom w:w="72" w:type="dxa"/>
              <w:right w:w="152" w:type="dxa"/>
            </w:tcMar>
            <w:hideMark/>
          </w:tcPr>
          <w:p w14:paraId="4422EE4A" w14:textId="77777777" w:rsidR="009E64C8" w:rsidRPr="00823498" w:rsidRDefault="009E64C8" w:rsidP="00FB7474">
            <w:pPr>
              <w:autoSpaceDE w:val="0"/>
              <w:autoSpaceDN w:val="0"/>
              <w:adjustRightInd w:val="0"/>
              <w:rPr>
                <w:rFonts w:eastAsiaTheme="minorHAnsi"/>
                <w:bCs/>
                <w:lang w:val="en-US"/>
              </w:rPr>
            </w:pPr>
            <w:r w:rsidRPr="00823498">
              <w:rPr>
                <w:rFonts w:eastAsiaTheme="minorHAnsi"/>
                <w:bCs/>
                <w:lang w:val="en-US"/>
              </w:rPr>
              <w:t>-0.022(0.011) (Pr. =0.045)</w:t>
            </w:r>
          </w:p>
        </w:tc>
      </w:tr>
      <w:tr w:rsidR="009E64C8" w:rsidRPr="00FB7474" w14:paraId="0BF050F1" w14:textId="77777777" w:rsidTr="00823498">
        <w:trPr>
          <w:trHeight w:val="187"/>
        </w:trPr>
        <w:tc>
          <w:tcPr>
            <w:tcW w:w="3655" w:type="dxa"/>
            <w:tcBorders>
              <w:top w:val="single" w:sz="8" w:space="0" w:color="FFFFFF"/>
              <w:left w:val="single" w:sz="8" w:space="0" w:color="FFFFFF"/>
              <w:bottom w:val="single" w:sz="8" w:space="0" w:color="FFFFFF"/>
              <w:right w:val="single" w:sz="8" w:space="0" w:color="FFFFFF"/>
            </w:tcBorders>
            <w:shd w:val="clear" w:color="auto" w:fill="auto"/>
            <w:tcMar>
              <w:top w:w="72" w:type="dxa"/>
              <w:left w:w="152" w:type="dxa"/>
              <w:bottom w:w="72" w:type="dxa"/>
              <w:right w:w="152" w:type="dxa"/>
            </w:tcMar>
            <w:hideMark/>
          </w:tcPr>
          <w:p w14:paraId="4DB37552" w14:textId="77777777" w:rsidR="009E64C8" w:rsidRPr="00823498" w:rsidRDefault="009E64C8" w:rsidP="00FB7474">
            <w:pPr>
              <w:autoSpaceDE w:val="0"/>
              <w:autoSpaceDN w:val="0"/>
              <w:adjustRightInd w:val="0"/>
              <w:rPr>
                <w:rFonts w:eastAsiaTheme="minorHAnsi"/>
                <w:b/>
                <w:bCs/>
                <w:lang w:val="en-US"/>
              </w:rPr>
            </w:pPr>
            <w:r w:rsidRPr="00823498">
              <w:rPr>
                <w:rFonts w:eastAsiaTheme="minorHAnsi"/>
                <w:b/>
                <w:bCs/>
                <w:lang w:val="en-US"/>
              </w:rPr>
              <w:t>Total surveys</w:t>
            </w:r>
          </w:p>
        </w:tc>
        <w:tc>
          <w:tcPr>
            <w:tcW w:w="2520" w:type="dxa"/>
            <w:tcBorders>
              <w:top w:val="single" w:sz="8" w:space="0" w:color="FFFFFF"/>
              <w:left w:val="single" w:sz="8" w:space="0" w:color="FFFFFF"/>
              <w:bottom w:val="single" w:sz="8" w:space="0" w:color="FFFFFF"/>
              <w:right w:val="single" w:sz="8" w:space="0" w:color="FFFFFF"/>
            </w:tcBorders>
            <w:shd w:val="clear" w:color="auto" w:fill="auto"/>
            <w:tcMar>
              <w:top w:w="72" w:type="dxa"/>
              <w:left w:w="152" w:type="dxa"/>
              <w:bottom w:w="72" w:type="dxa"/>
              <w:right w:w="152" w:type="dxa"/>
            </w:tcMar>
            <w:hideMark/>
          </w:tcPr>
          <w:p w14:paraId="78A89B1C" w14:textId="77777777" w:rsidR="009E64C8" w:rsidRPr="00823498" w:rsidRDefault="009E64C8" w:rsidP="00FB7474">
            <w:pPr>
              <w:autoSpaceDE w:val="0"/>
              <w:autoSpaceDN w:val="0"/>
              <w:adjustRightInd w:val="0"/>
              <w:rPr>
                <w:rFonts w:eastAsiaTheme="minorHAnsi"/>
                <w:bCs/>
                <w:lang w:val="en-US"/>
              </w:rPr>
            </w:pPr>
          </w:p>
        </w:tc>
        <w:tc>
          <w:tcPr>
            <w:tcW w:w="4860" w:type="dxa"/>
            <w:tcBorders>
              <w:top w:val="single" w:sz="8" w:space="0" w:color="FFFFFF"/>
              <w:left w:val="single" w:sz="8" w:space="0" w:color="FFFFFF"/>
              <w:bottom w:val="single" w:sz="8" w:space="0" w:color="FFFFFF"/>
              <w:right w:val="single" w:sz="8" w:space="0" w:color="FFFFFF"/>
            </w:tcBorders>
            <w:shd w:val="clear" w:color="auto" w:fill="auto"/>
            <w:tcMar>
              <w:top w:w="72" w:type="dxa"/>
              <w:left w:w="152" w:type="dxa"/>
              <w:bottom w:w="72" w:type="dxa"/>
              <w:right w:w="152" w:type="dxa"/>
            </w:tcMar>
            <w:hideMark/>
          </w:tcPr>
          <w:p w14:paraId="77537695" w14:textId="77777777" w:rsidR="009E64C8" w:rsidRPr="00823498" w:rsidRDefault="009E64C8" w:rsidP="00FB7474">
            <w:pPr>
              <w:autoSpaceDE w:val="0"/>
              <w:autoSpaceDN w:val="0"/>
              <w:adjustRightInd w:val="0"/>
              <w:rPr>
                <w:rFonts w:eastAsiaTheme="minorHAnsi"/>
                <w:bCs/>
                <w:lang w:val="en-US"/>
              </w:rPr>
            </w:pPr>
            <w:r w:rsidRPr="00823498">
              <w:rPr>
                <w:rFonts w:eastAsiaTheme="minorHAnsi"/>
                <w:bCs/>
                <w:lang w:val="en-US"/>
              </w:rPr>
              <w:t>-0.044(0.065) (Pr.=0.505)</w:t>
            </w:r>
          </w:p>
        </w:tc>
      </w:tr>
      <w:tr w:rsidR="009E64C8" w:rsidRPr="00FB7474" w14:paraId="0360286B" w14:textId="77777777" w:rsidTr="00823498">
        <w:trPr>
          <w:trHeight w:val="22"/>
        </w:trPr>
        <w:tc>
          <w:tcPr>
            <w:tcW w:w="3655" w:type="dxa"/>
            <w:tcBorders>
              <w:top w:val="single" w:sz="8" w:space="0" w:color="FFFFFF"/>
              <w:left w:val="single" w:sz="8" w:space="0" w:color="FFFFFF"/>
              <w:bottom w:val="single" w:sz="8" w:space="0" w:color="FFFFFF"/>
              <w:right w:val="single" w:sz="8" w:space="0" w:color="FFFFFF"/>
            </w:tcBorders>
            <w:shd w:val="clear" w:color="auto" w:fill="auto"/>
            <w:tcMar>
              <w:top w:w="72" w:type="dxa"/>
              <w:left w:w="152" w:type="dxa"/>
              <w:bottom w:w="72" w:type="dxa"/>
              <w:right w:w="152" w:type="dxa"/>
            </w:tcMar>
            <w:hideMark/>
          </w:tcPr>
          <w:p w14:paraId="1D5DEF0A" w14:textId="77777777" w:rsidR="009E64C8" w:rsidRPr="00823498" w:rsidRDefault="009E64C8" w:rsidP="00FB7474">
            <w:pPr>
              <w:autoSpaceDE w:val="0"/>
              <w:autoSpaceDN w:val="0"/>
              <w:adjustRightInd w:val="0"/>
              <w:rPr>
                <w:rFonts w:eastAsiaTheme="minorHAnsi"/>
                <w:b/>
                <w:bCs/>
                <w:lang w:val="en-US"/>
              </w:rPr>
            </w:pPr>
          </w:p>
        </w:tc>
        <w:tc>
          <w:tcPr>
            <w:tcW w:w="2520" w:type="dxa"/>
            <w:tcBorders>
              <w:top w:val="single" w:sz="8" w:space="0" w:color="FFFFFF"/>
              <w:left w:val="single" w:sz="8" w:space="0" w:color="FFFFFF"/>
              <w:bottom w:val="single" w:sz="8" w:space="0" w:color="FFFFFF"/>
              <w:right w:val="single" w:sz="8" w:space="0" w:color="FFFFFF"/>
            </w:tcBorders>
            <w:shd w:val="clear" w:color="auto" w:fill="auto"/>
            <w:tcMar>
              <w:top w:w="72" w:type="dxa"/>
              <w:left w:w="152" w:type="dxa"/>
              <w:bottom w:w="72" w:type="dxa"/>
              <w:right w:w="152" w:type="dxa"/>
            </w:tcMar>
            <w:hideMark/>
          </w:tcPr>
          <w:p w14:paraId="37A82308" w14:textId="77777777" w:rsidR="009E64C8" w:rsidRPr="00823498" w:rsidRDefault="009E64C8" w:rsidP="00FB7474">
            <w:pPr>
              <w:autoSpaceDE w:val="0"/>
              <w:autoSpaceDN w:val="0"/>
              <w:adjustRightInd w:val="0"/>
              <w:rPr>
                <w:rFonts w:eastAsiaTheme="minorHAnsi"/>
                <w:bCs/>
                <w:lang w:val="en-US"/>
              </w:rPr>
            </w:pPr>
          </w:p>
        </w:tc>
        <w:tc>
          <w:tcPr>
            <w:tcW w:w="4860" w:type="dxa"/>
            <w:tcBorders>
              <w:top w:val="single" w:sz="8" w:space="0" w:color="FFFFFF"/>
              <w:left w:val="single" w:sz="8" w:space="0" w:color="FFFFFF"/>
              <w:bottom w:val="single" w:sz="8" w:space="0" w:color="FFFFFF"/>
              <w:right w:val="single" w:sz="8" w:space="0" w:color="FFFFFF"/>
            </w:tcBorders>
            <w:shd w:val="clear" w:color="auto" w:fill="auto"/>
            <w:tcMar>
              <w:top w:w="72" w:type="dxa"/>
              <w:left w:w="152" w:type="dxa"/>
              <w:bottom w:w="72" w:type="dxa"/>
              <w:right w:w="152" w:type="dxa"/>
            </w:tcMar>
            <w:hideMark/>
          </w:tcPr>
          <w:p w14:paraId="4854BFEC" w14:textId="77777777" w:rsidR="009E64C8" w:rsidRPr="00823498" w:rsidRDefault="009E64C8" w:rsidP="00FB7474">
            <w:pPr>
              <w:autoSpaceDE w:val="0"/>
              <w:autoSpaceDN w:val="0"/>
              <w:adjustRightInd w:val="0"/>
              <w:rPr>
                <w:rFonts w:eastAsiaTheme="minorHAnsi"/>
                <w:bCs/>
                <w:lang w:val="en-US"/>
              </w:rPr>
            </w:pPr>
          </w:p>
        </w:tc>
      </w:tr>
      <w:tr w:rsidR="009E64C8" w:rsidRPr="00FB7474" w14:paraId="00EE68BD" w14:textId="77777777" w:rsidTr="00823498">
        <w:trPr>
          <w:trHeight w:val="43"/>
        </w:trPr>
        <w:tc>
          <w:tcPr>
            <w:tcW w:w="3655" w:type="dxa"/>
            <w:tcBorders>
              <w:top w:val="single" w:sz="8" w:space="0" w:color="FFFFFF"/>
              <w:left w:val="single" w:sz="8" w:space="0" w:color="FFFFFF"/>
              <w:bottom w:val="single" w:sz="8" w:space="0" w:color="FFFFFF"/>
              <w:right w:val="single" w:sz="8" w:space="0" w:color="FFFFFF"/>
            </w:tcBorders>
            <w:shd w:val="clear" w:color="auto" w:fill="auto"/>
            <w:tcMar>
              <w:top w:w="72" w:type="dxa"/>
              <w:left w:w="152" w:type="dxa"/>
              <w:bottom w:w="72" w:type="dxa"/>
              <w:right w:w="152" w:type="dxa"/>
            </w:tcMar>
            <w:hideMark/>
          </w:tcPr>
          <w:p w14:paraId="1AFB4C24" w14:textId="77777777" w:rsidR="009E64C8" w:rsidRPr="00823498" w:rsidRDefault="009E64C8" w:rsidP="00FB7474">
            <w:pPr>
              <w:autoSpaceDE w:val="0"/>
              <w:autoSpaceDN w:val="0"/>
              <w:adjustRightInd w:val="0"/>
              <w:rPr>
                <w:rFonts w:eastAsiaTheme="minorHAnsi"/>
                <w:b/>
                <w:bCs/>
                <w:lang w:val="en-US"/>
              </w:rPr>
            </w:pPr>
            <w:r w:rsidRPr="00823498">
              <w:rPr>
                <w:rFonts w:eastAsiaTheme="minorHAnsi"/>
                <w:b/>
                <w:bCs/>
                <w:i/>
                <w:iCs/>
                <w:lang w:val="en-US"/>
              </w:rPr>
              <w:t>Random</w:t>
            </w:r>
          </w:p>
        </w:tc>
        <w:tc>
          <w:tcPr>
            <w:tcW w:w="2520" w:type="dxa"/>
            <w:tcBorders>
              <w:top w:val="single" w:sz="8" w:space="0" w:color="FFFFFF"/>
              <w:left w:val="single" w:sz="8" w:space="0" w:color="FFFFFF"/>
              <w:bottom w:val="single" w:sz="8" w:space="0" w:color="FFFFFF"/>
              <w:right w:val="single" w:sz="8" w:space="0" w:color="FFFFFF"/>
            </w:tcBorders>
            <w:shd w:val="clear" w:color="auto" w:fill="auto"/>
            <w:tcMar>
              <w:top w:w="72" w:type="dxa"/>
              <w:left w:w="152" w:type="dxa"/>
              <w:bottom w:w="72" w:type="dxa"/>
              <w:right w:w="152" w:type="dxa"/>
            </w:tcMar>
            <w:hideMark/>
          </w:tcPr>
          <w:p w14:paraId="35A4CE8E" w14:textId="07FD8A67" w:rsidR="009E64C8" w:rsidRPr="00823498" w:rsidRDefault="00B12AAC" w:rsidP="00B12AAC">
            <w:pPr>
              <w:autoSpaceDE w:val="0"/>
              <w:autoSpaceDN w:val="0"/>
              <w:adjustRightInd w:val="0"/>
              <w:rPr>
                <w:rFonts w:eastAsiaTheme="minorHAnsi"/>
                <w:bCs/>
                <w:lang w:val="en-US"/>
              </w:rPr>
            </w:pPr>
            <w:r>
              <w:rPr>
                <w:rFonts w:eastAsiaTheme="minorHAnsi"/>
                <w:bCs/>
                <w:i/>
                <w:iCs/>
                <w:lang w:val="en-US"/>
              </w:rPr>
              <w:t>0.535(0.732</w:t>
            </w:r>
            <w:r w:rsidR="009E64C8" w:rsidRPr="00823498">
              <w:rPr>
                <w:rFonts w:eastAsiaTheme="minorHAnsi"/>
                <w:bCs/>
                <w:i/>
                <w:iCs/>
                <w:lang w:val="en-US"/>
              </w:rPr>
              <w:t xml:space="preserve"> </w:t>
            </w:r>
          </w:p>
        </w:tc>
        <w:tc>
          <w:tcPr>
            <w:tcW w:w="4860" w:type="dxa"/>
            <w:tcBorders>
              <w:top w:val="single" w:sz="8" w:space="0" w:color="FFFFFF"/>
              <w:left w:val="single" w:sz="8" w:space="0" w:color="FFFFFF"/>
              <w:bottom w:val="single" w:sz="8" w:space="0" w:color="FFFFFF"/>
              <w:right w:val="single" w:sz="8" w:space="0" w:color="FFFFFF"/>
            </w:tcBorders>
            <w:shd w:val="clear" w:color="auto" w:fill="auto"/>
            <w:tcMar>
              <w:top w:w="72" w:type="dxa"/>
              <w:left w:w="152" w:type="dxa"/>
              <w:bottom w:w="72" w:type="dxa"/>
              <w:right w:w="152" w:type="dxa"/>
            </w:tcMar>
            <w:hideMark/>
          </w:tcPr>
          <w:p w14:paraId="0E94F063" w14:textId="77777777" w:rsidR="009E64C8" w:rsidRPr="00823498" w:rsidRDefault="009E64C8" w:rsidP="00FB7474">
            <w:pPr>
              <w:autoSpaceDE w:val="0"/>
              <w:autoSpaceDN w:val="0"/>
              <w:adjustRightInd w:val="0"/>
              <w:rPr>
                <w:rFonts w:eastAsiaTheme="minorHAnsi"/>
                <w:bCs/>
                <w:lang w:val="en-US"/>
              </w:rPr>
            </w:pPr>
            <w:r w:rsidRPr="00823498">
              <w:rPr>
                <w:rFonts w:eastAsiaTheme="minorHAnsi"/>
                <w:bCs/>
                <w:i/>
                <w:iCs/>
                <w:lang w:val="en-US"/>
              </w:rPr>
              <w:t>0.590(0.768)</w:t>
            </w:r>
          </w:p>
        </w:tc>
      </w:tr>
      <w:tr w:rsidR="009E64C8" w:rsidRPr="00FB7474" w14:paraId="2FCE89B0" w14:textId="77777777" w:rsidTr="00823498">
        <w:trPr>
          <w:trHeight w:val="22"/>
        </w:trPr>
        <w:tc>
          <w:tcPr>
            <w:tcW w:w="3655" w:type="dxa"/>
            <w:tcBorders>
              <w:top w:val="single" w:sz="8" w:space="0" w:color="FFFFFF"/>
              <w:left w:val="single" w:sz="8" w:space="0" w:color="FFFFFF"/>
              <w:bottom w:val="single" w:sz="8" w:space="0" w:color="FFFFFF"/>
              <w:right w:val="single" w:sz="8" w:space="0" w:color="FFFFFF"/>
            </w:tcBorders>
            <w:shd w:val="clear" w:color="auto" w:fill="auto"/>
            <w:tcMar>
              <w:top w:w="72" w:type="dxa"/>
              <w:left w:w="152" w:type="dxa"/>
              <w:bottom w:w="72" w:type="dxa"/>
              <w:right w:w="152" w:type="dxa"/>
            </w:tcMar>
            <w:hideMark/>
          </w:tcPr>
          <w:p w14:paraId="5534C5AC" w14:textId="77777777" w:rsidR="009E64C8" w:rsidRPr="00823498" w:rsidRDefault="009E64C8" w:rsidP="00FB7474">
            <w:pPr>
              <w:autoSpaceDE w:val="0"/>
              <w:autoSpaceDN w:val="0"/>
              <w:adjustRightInd w:val="0"/>
              <w:rPr>
                <w:rFonts w:eastAsiaTheme="minorHAnsi"/>
                <w:b/>
                <w:bCs/>
                <w:lang w:val="en-US"/>
              </w:rPr>
            </w:pPr>
            <w:r w:rsidRPr="00823498">
              <w:rPr>
                <w:rFonts w:eastAsiaTheme="minorHAnsi"/>
                <w:b/>
                <w:bCs/>
                <w:lang w:val="en-US"/>
              </w:rPr>
              <w:t>ICC</w:t>
            </w:r>
          </w:p>
        </w:tc>
        <w:tc>
          <w:tcPr>
            <w:tcW w:w="2520" w:type="dxa"/>
            <w:tcBorders>
              <w:top w:val="single" w:sz="8" w:space="0" w:color="FFFFFF"/>
              <w:left w:val="single" w:sz="8" w:space="0" w:color="FFFFFF"/>
              <w:bottom w:val="single" w:sz="8" w:space="0" w:color="FFFFFF"/>
              <w:right w:val="single" w:sz="8" w:space="0" w:color="FFFFFF"/>
            </w:tcBorders>
            <w:shd w:val="clear" w:color="auto" w:fill="auto"/>
            <w:tcMar>
              <w:top w:w="72" w:type="dxa"/>
              <w:left w:w="152" w:type="dxa"/>
              <w:bottom w:w="72" w:type="dxa"/>
              <w:right w:w="152" w:type="dxa"/>
            </w:tcMar>
            <w:hideMark/>
          </w:tcPr>
          <w:p w14:paraId="64902BFF" w14:textId="24B3492B" w:rsidR="009E64C8" w:rsidRPr="00823498" w:rsidRDefault="009E64C8" w:rsidP="00FB7474">
            <w:pPr>
              <w:autoSpaceDE w:val="0"/>
              <w:autoSpaceDN w:val="0"/>
              <w:adjustRightInd w:val="0"/>
              <w:rPr>
                <w:rFonts w:eastAsiaTheme="minorHAnsi"/>
                <w:bCs/>
                <w:lang w:val="en-US"/>
              </w:rPr>
            </w:pPr>
            <w:r w:rsidRPr="00823498">
              <w:rPr>
                <w:rFonts w:eastAsiaTheme="minorHAnsi"/>
                <w:bCs/>
                <w:lang w:val="en-US"/>
              </w:rPr>
              <w:t>0.14</w:t>
            </w:r>
            <w:r w:rsidR="00B12AAC">
              <w:rPr>
                <w:rFonts w:eastAsiaTheme="minorHAnsi"/>
                <w:bCs/>
                <w:lang w:val="en-US"/>
              </w:rPr>
              <w:t>0</w:t>
            </w:r>
          </w:p>
        </w:tc>
        <w:tc>
          <w:tcPr>
            <w:tcW w:w="4860" w:type="dxa"/>
            <w:tcBorders>
              <w:top w:val="single" w:sz="8" w:space="0" w:color="FFFFFF"/>
              <w:left w:val="single" w:sz="8" w:space="0" w:color="FFFFFF"/>
              <w:bottom w:val="single" w:sz="8" w:space="0" w:color="FFFFFF"/>
              <w:right w:val="single" w:sz="8" w:space="0" w:color="FFFFFF"/>
            </w:tcBorders>
            <w:shd w:val="clear" w:color="auto" w:fill="auto"/>
            <w:tcMar>
              <w:top w:w="72" w:type="dxa"/>
              <w:left w:w="152" w:type="dxa"/>
              <w:bottom w:w="72" w:type="dxa"/>
              <w:right w:w="152" w:type="dxa"/>
            </w:tcMar>
            <w:hideMark/>
          </w:tcPr>
          <w:p w14:paraId="09F4BE8A" w14:textId="77777777" w:rsidR="009E64C8" w:rsidRPr="00823498" w:rsidRDefault="009E64C8" w:rsidP="00FB7474">
            <w:pPr>
              <w:autoSpaceDE w:val="0"/>
              <w:autoSpaceDN w:val="0"/>
              <w:adjustRightInd w:val="0"/>
              <w:rPr>
                <w:rFonts w:eastAsiaTheme="minorHAnsi"/>
                <w:bCs/>
                <w:lang w:val="en-US"/>
              </w:rPr>
            </w:pPr>
            <w:r w:rsidRPr="00823498">
              <w:rPr>
                <w:rFonts w:eastAsiaTheme="minorHAnsi"/>
                <w:bCs/>
                <w:lang w:val="en-US"/>
              </w:rPr>
              <w:t>0.152</w:t>
            </w:r>
          </w:p>
        </w:tc>
      </w:tr>
    </w:tbl>
    <w:p w14:paraId="7D031A38" w14:textId="77777777" w:rsidR="00FB7474" w:rsidRPr="00B33F0F" w:rsidRDefault="00FB7474" w:rsidP="00FB7474">
      <w:pPr>
        <w:autoSpaceDE w:val="0"/>
        <w:autoSpaceDN w:val="0"/>
        <w:adjustRightInd w:val="0"/>
        <w:rPr>
          <w:rFonts w:eastAsiaTheme="minorHAnsi"/>
          <w:bCs/>
          <w:lang w:val="en-US"/>
        </w:rPr>
      </w:pPr>
    </w:p>
    <w:p w14:paraId="0C357C8A" w14:textId="77777777" w:rsidR="000E483E" w:rsidRDefault="000E483E" w:rsidP="000E483E">
      <w:pPr>
        <w:autoSpaceDE w:val="0"/>
        <w:autoSpaceDN w:val="0"/>
        <w:adjustRightInd w:val="0"/>
        <w:rPr>
          <w:rFonts w:eastAsiaTheme="minorHAnsi"/>
          <w:bCs/>
          <w:lang w:val="en-US"/>
        </w:rPr>
      </w:pPr>
    </w:p>
    <w:p w14:paraId="01697F43" w14:textId="4082C8AB" w:rsidR="00B12AAC" w:rsidRDefault="00B12AAC" w:rsidP="00B12AAC">
      <w:pPr>
        <w:spacing w:after="160" w:line="259" w:lineRule="auto"/>
        <w:rPr>
          <w:rFonts w:eastAsiaTheme="minorHAnsi"/>
          <w:b/>
          <w:bCs/>
        </w:rPr>
      </w:pPr>
      <w:r w:rsidRPr="000E483E">
        <w:rPr>
          <w:rFonts w:eastAsiaTheme="minorHAnsi"/>
          <w:b/>
          <w:bCs/>
        </w:rPr>
        <w:t>Discussion</w:t>
      </w:r>
    </w:p>
    <w:p w14:paraId="4743EFCD" w14:textId="332ACF05" w:rsidR="00B12AAC" w:rsidRDefault="00B12AAC" w:rsidP="00B12AAC">
      <w:pPr>
        <w:autoSpaceDE w:val="0"/>
        <w:autoSpaceDN w:val="0"/>
        <w:adjustRightInd w:val="0"/>
        <w:rPr>
          <w:rFonts w:eastAsiaTheme="minorHAnsi"/>
          <w:bCs/>
          <w:lang w:val="en-US"/>
        </w:rPr>
      </w:pPr>
      <w:r>
        <w:rPr>
          <w:rFonts w:eastAsiaTheme="minorHAnsi"/>
          <w:bCs/>
        </w:rPr>
        <w:t xml:space="preserve">This analysis is one of the first to utilize interview process data to study interviewer effects on nonresponse in the CE survey. These new models of nonresponse provide some evidence that the mythologies around interviewers are not always true. For example, reducing workloads likely would not reduce nonresponse given that larger workloads were associated with higher interviewer-level response rates. </w:t>
      </w:r>
      <w:r>
        <w:rPr>
          <w:rFonts w:eastAsiaTheme="minorHAnsi"/>
          <w:bCs/>
          <w:lang w:val="en-US"/>
        </w:rPr>
        <w:t>However, s</w:t>
      </w:r>
      <w:r w:rsidRPr="00B33F0F">
        <w:rPr>
          <w:rFonts w:eastAsiaTheme="minorHAnsi"/>
          <w:bCs/>
          <w:lang w:val="en-US"/>
        </w:rPr>
        <w:t>ince this study is no</w:t>
      </w:r>
      <w:r>
        <w:rPr>
          <w:rFonts w:eastAsiaTheme="minorHAnsi"/>
          <w:bCs/>
          <w:lang w:val="en-US"/>
        </w:rPr>
        <w:t>t e</w:t>
      </w:r>
      <w:r w:rsidRPr="00B33F0F">
        <w:rPr>
          <w:rFonts w:eastAsiaTheme="minorHAnsi"/>
          <w:bCs/>
          <w:lang w:val="en-US"/>
        </w:rPr>
        <w:t xml:space="preserve">xperimental, it is difficult to draw </w:t>
      </w:r>
      <w:r>
        <w:rPr>
          <w:rFonts w:eastAsiaTheme="minorHAnsi"/>
          <w:bCs/>
          <w:lang w:val="en-US"/>
        </w:rPr>
        <w:t xml:space="preserve">clear </w:t>
      </w:r>
      <w:r w:rsidRPr="00B33F0F">
        <w:rPr>
          <w:rFonts w:eastAsiaTheme="minorHAnsi"/>
          <w:bCs/>
          <w:lang w:val="en-US"/>
        </w:rPr>
        <w:t>conclusions.  Other survey management practices</w:t>
      </w:r>
      <w:r>
        <w:rPr>
          <w:rFonts w:eastAsiaTheme="minorHAnsi"/>
          <w:bCs/>
          <w:lang w:val="en-US"/>
        </w:rPr>
        <w:t xml:space="preserve"> or interviewer characteristics</w:t>
      </w:r>
      <w:r w:rsidRPr="00B33F0F">
        <w:rPr>
          <w:rFonts w:eastAsiaTheme="minorHAnsi"/>
          <w:bCs/>
          <w:lang w:val="en-US"/>
        </w:rPr>
        <w:t xml:space="preserve"> not measured here could have an impact.  Case assignment practices could confound interviewer practices, e.g.</w:t>
      </w:r>
      <w:r>
        <w:rPr>
          <w:rFonts w:eastAsiaTheme="minorHAnsi"/>
          <w:bCs/>
          <w:lang w:val="en-US"/>
        </w:rPr>
        <w:t>,</w:t>
      </w:r>
      <w:r w:rsidRPr="00B33F0F">
        <w:rPr>
          <w:rFonts w:eastAsiaTheme="minorHAnsi"/>
          <w:bCs/>
          <w:lang w:val="en-US"/>
        </w:rPr>
        <w:t xml:space="preserve"> newer interviewers could be given interviews</w:t>
      </w:r>
      <w:r>
        <w:rPr>
          <w:rFonts w:eastAsiaTheme="minorHAnsi"/>
          <w:bCs/>
          <w:lang w:val="en-US"/>
        </w:rPr>
        <w:t xml:space="preserve"> thought to be easier</w:t>
      </w:r>
      <w:r w:rsidRPr="00B33F0F">
        <w:rPr>
          <w:rFonts w:eastAsiaTheme="minorHAnsi"/>
          <w:bCs/>
          <w:lang w:val="en-US"/>
        </w:rPr>
        <w:t xml:space="preserve">.  The nature of the relationship between interviewer and </w:t>
      </w:r>
      <w:r>
        <w:rPr>
          <w:rFonts w:eastAsiaTheme="minorHAnsi"/>
          <w:bCs/>
          <w:lang w:val="en-US"/>
        </w:rPr>
        <w:t>response rate</w:t>
      </w:r>
      <w:r w:rsidRPr="00B33F0F">
        <w:rPr>
          <w:rFonts w:eastAsiaTheme="minorHAnsi"/>
          <w:bCs/>
          <w:lang w:val="en-US"/>
        </w:rPr>
        <w:t xml:space="preserve"> doesn’t tell us what changes could be made to survey practice or interviewer training.</w:t>
      </w:r>
    </w:p>
    <w:p w14:paraId="145369BD" w14:textId="77777777" w:rsidR="00B12AAC" w:rsidRDefault="00B12AAC" w:rsidP="00B12AAC">
      <w:pPr>
        <w:autoSpaceDE w:val="0"/>
        <w:autoSpaceDN w:val="0"/>
        <w:adjustRightInd w:val="0"/>
        <w:rPr>
          <w:rFonts w:eastAsiaTheme="minorHAnsi"/>
          <w:b/>
          <w:bCs/>
          <w:sz w:val="32"/>
          <w:szCs w:val="32"/>
          <w:lang w:val="en-US"/>
        </w:rPr>
      </w:pPr>
    </w:p>
    <w:p w14:paraId="26693CE2" w14:textId="3D4A66B9" w:rsidR="000E483E" w:rsidRDefault="000E483E" w:rsidP="000E483E">
      <w:pPr>
        <w:autoSpaceDE w:val="0"/>
        <w:autoSpaceDN w:val="0"/>
        <w:adjustRightInd w:val="0"/>
        <w:rPr>
          <w:rFonts w:eastAsiaTheme="minorHAnsi"/>
          <w:b/>
          <w:bCs/>
        </w:rPr>
      </w:pPr>
      <w:r>
        <w:rPr>
          <w:rFonts w:eastAsiaTheme="minorHAnsi"/>
          <w:b/>
          <w:bCs/>
        </w:rPr>
        <w:t>Future Research</w:t>
      </w:r>
    </w:p>
    <w:p w14:paraId="6A6016E3" w14:textId="2822E9E9" w:rsidR="00CA1F5D" w:rsidRPr="00B33F0F" w:rsidRDefault="00CF3110" w:rsidP="000E483E">
      <w:pPr>
        <w:autoSpaceDE w:val="0"/>
        <w:autoSpaceDN w:val="0"/>
        <w:adjustRightInd w:val="0"/>
        <w:rPr>
          <w:rFonts w:eastAsiaTheme="minorHAnsi"/>
          <w:bCs/>
          <w:lang w:val="en-US"/>
        </w:rPr>
      </w:pPr>
      <w:r w:rsidRPr="00B33F0F">
        <w:rPr>
          <w:rFonts w:eastAsiaTheme="minorHAnsi"/>
          <w:bCs/>
          <w:lang w:val="en-US"/>
        </w:rPr>
        <w:t>We need more data on interviewer contact strategies and interviewer behavior (particularly</w:t>
      </w:r>
      <w:r w:rsidR="00B12AAC">
        <w:rPr>
          <w:rFonts w:eastAsiaTheme="minorHAnsi"/>
          <w:bCs/>
          <w:lang w:val="en-US"/>
        </w:rPr>
        <w:t xml:space="preserve"> measures which might relate to</w:t>
      </w:r>
      <w:r w:rsidRPr="00B33F0F">
        <w:rPr>
          <w:rFonts w:eastAsiaTheme="minorHAnsi"/>
          <w:bCs/>
          <w:lang w:val="en-US"/>
        </w:rPr>
        <w:t xml:space="preserve"> time management), as well as respondent characteristics.  Models </w:t>
      </w:r>
      <w:r w:rsidR="00B12AAC">
        <w:rPr>
          <w:rFonts w:eastAsiaTheme="minorHAnsi"/>
          <w:bCs/>
          <w:lang w:val="en-US"/>
        </w:rPr>
        <w:t>that</w:t>
      </w:r>
      <w:r w:rsidRPr="00B33F0F">
        <w:rPr>
          <w:rFonts w:eastAsiaTheme="minorHAnsi"/>
          <w:bCs/>
          <w:lang w:val="en-US"/>
        </w:rPr>
        <w:t xml:space="preserve"> consider interactions could show more complex relationships.  Tree models might </w:t>
      </w:r>
      <w:r w:rsidR="00756716">
        <w:rPr>
          <w:rFonts w:eastAsiaTheme="minorHAnsi"/>
          <w:bCs/>
          <w:lang w:val="en-US"/>
        </w:rPr>
        <w:t xml:space="preserve">also </w:t>
      </w:r>
      <w:r w:rsidRPr="00B33F0F">
        <w:rPr>
          <w:rFonts w:eastAsiaTheme="minorHAnsi"/>
          <w:bCs/>
          <w:lang w:val="en-US"/>
        </w:rPr>
        <w:t xml:space="preserve">be useful </w:t>
      </w:r>
      <w:r w:rsidR="00756716">
        <w:rPr>
          <w:rFonts w:eastAsiaTheme="minorHAnsi"/>
          <w:bCs/>
          <w:lang w:val="en-US"/>
        </w:rPr>
        <w:t>for understanding interactions</w:t>
      </w:r>
      <w:r w:rsidRPr="00B33F0F">
        <w:rPr>
          <w:rFonts w:eastAsiaTheme="minorHAnsi"/>
          <w:bCs/>
          <w:lang w:val="en-US"/>
        </w:rPr>
        <w:t>.</w:t>
      </w:r>
    </w:p>
    <w:p w14:paraId="71BBFA15" w14:textId="77777777" w:rsidR="00FB7474" w:rsidRPr="00FB7474" w:rsidRDefault="00FB7474" w:rsidP="00FB7474">
      <w:pPr>
        <w:autoSpaceDE w:val="0"/>
        <w:autoSpaceDN w:val="0"/>
        <w:adjustRightInd w:val="0"/>
        <w:rPr>
          <w:rFonts w:eastAsiaTheme="minorHAnsi"/>
          <w:b/>
          <w:bCs/>
          <w:sz w:val="32"/>
          <w:szCs w:val="32"/>
          <w:lang w:val="en-US"/>
        </w:rPr>
      </w:pPr>
    </w:p>
    <w:p w14:paraId="18C0DFD4" w14:textId="77777777" w:rsidR="00B12AAC" w:rsidRDefault="00B12AAC">
      <w:pPr>
        <w:spacing w:after="160" w:line="259" w:lineRule="auto"/>
        <w:rPr>
          <w:rFonts w:eastAsia="MS Mincho"/>
          <w:b/>
        </w:rPr>
      </w:pPr>
      <w:r>
        <w:rPr>
          <w:rFonts w:eastAsia="MS Mincho"/>
          <w:b/>
        </w:rPr>
        <w:br w:type="page"/>
      </w:r>
    </w:p>
    <w:p w14:paraId="5406D079" w14:textId="7459167E" w:rsidR="00B33F0F" w:rsidRDefault="00B33F0F" w:rsidP="00B33F0F">
      <w:pPr>
        <w:rPr>
          <w:rFonts w:eastAsia="MS Mincho"/>
          <w:b/>
        </w:rPr>
      </w:pPr>
      <w:r>
        <w:rPr>
          <w:rFonts w:eastAsia="MS Mincho"/>
          <w:b/>
        </w:rPr>
        <w:lastRenderedPageBreak/>
        <w:t>References</w:t>
      </w:r>
    </w:p>
    <w:p w14:paraId="47F90229" w14:textId="77777777" w:rsidR="00F37C31" w:rsidRDefault="00F37C31" w:rsidP="0062640D">
      <w:pPr>
        <w:autoSpaceDE w:val="0"/>
        <w:autoSpaceDN w:val="0"/>
        <w:adjustRightInd w:val="0"/>
        <w:ind w:left="180" w:hanging="180"/>
        <w:rPr>
          <w:rFonts w:eastAsiaTheme="minorHAnsi"/>
          <w:bCs/>
          <w:lang w:val="en-US"/>
        </w:rPr>
      </w:pPr>
      <w:r w:rsidRPr="00F37C31">
        <w:rPr>
          <w:rFonts w:eastAsiaTheme="minorHAnsi"/>
          <w:bCs/>
          <w:lang w:val="en-US"/>
        </w:rPr>
        <w:t xml:space="preserve">Botman, S.L. and O.T. Thornberry (1992), </w:t>
      </w:r>
      <w:bookmarkStart w:id="0" w:name="_GoBack"/>
      <w:bookmarkEnd w:id="0"/>
      <w:r w:rsidRPr="00F37C31">
        <w:rPr>
          <w:rFonts w:eastAsiaTheme="minorHAnsi"/>
          <w:bCs/>
          <w:lang w:val="en-US"/>
        </w:rPr>
        <w:t>"Survey Design Features Correlates of Nonresponse," ASA Proceedings of the Section on Survey Research Methods, 309-314.</w:t>
      </w:r>
    </w:p>
    <w:p w14:paraId="61272085" w14:textId="36D4C420" w:rsidR="000F2EA3" w:rsidRDefault="00493649" w:rsidP="0062640D">
      <w:pPr>
        <w:autoSpaceDE w:val="0"/>
        <w:autoSpaceDN w:val="0"/>
        <w:adjustRightInd w:val="0"/>
        <w:ind w:left="180" w:hanging="180"/>
        <w:rPr>
          <w:rFonts w:eastAsiaTheme="minorHAnsi"/>
          <w:bCs/>
          <w:lang w:val="en-US"/>
        </w:rPr>
      </w:pPr>
      <w:r>
        <w:rPr>
          <w:rFonts w:eastAsiaTheme="minorHAnsi"/>
          <w:bCs/>
          <w:lang w:val="en-US"/>
        </w:rPr>
        <w:t>Brunton-Smith, I., Sturgis, P., and Leckie, G.,</w:t>
      </w:r>
      <w:r w:rsidR="00220E0C">
        <w:rPr>
          <w:rFonts w:eastAsiaTheme="minorHAnsi"/>
          <w:bCs/>
          <w:lang w:val="en-US"/>
        </w:rPr>
        <w:t xml:space="preserve"> (2017),</w:t>
      </w:r>
      <w:r>
        <w:rPr>
          <w:rFonts w:eastAsiaTheme="minorHAnsi"/>
          <w:bCs/>
          <w:lang w:val="en-US"/>
        </w:rPr>
        <w:t xml:space="preserve"> “Detecting and understanding interviewer effects on survey data using a cross-classified mixed-effects location scale model”, National Centre for Research Methods Working Paper (2/16).</w:t>
      </w:r>
      <w:r w:rsidR="00220E0C">
        <w:rPr>
          <w:rFonts w:eastAsiaTheme="minorHAnsi"/>
          <w:bCs/>
          <w:lang w:val="en-US"/>
        </w:rPr>
        <w:t xml:space="preserve"> and</w:t>
      </w:r>
      <w:r w:rsidR="00220E0C" w:rsidRPr="00220E0C">
        <w:rPr>
          <w:rFonts w:eastAsiaTheme="minorHAnsi"/>
          <w:bCs/>
          <w:lang w:val="en-US"/>
        </w:rPr>
        <w:t xml:space="preserve"> Journal of the Royal Statistical Society: S</w:t>
      </w:r>
      <w:r w:rsidR="00220E0C">
        <w:rPr>
          <w:rFonts w:eastAsiaTheme="minorHAnsi"/>
          <w:bCs/>
          <w:lang w:val="en-US"/>
        </w:rPr>
        <w:t>eries A (Statistics in Society), Vol. 180.10.</w:t>
      </w:r>
    </w:p>
    <w:p w14:paraId="4EEE891E" w14:textId="41872B55" w:rsidR="006E17D0" w:rsidRDefault="00CC216F" w:rsidP="0062640D">
      <w:pPr>
        <w:autoSpaceDE w:val="0"/>
        <w:autoSpaceDN w:val="0"/>
        <w:adjustRightInd w:val="0"/>
        <w:ind w:left="180" w:hanging="180"/>
        <w:rPr>
          <w:rFonts w:eastAsiaTheme="minorHAnsi"/>
          <w:bCs/>
          <w:lang w:val="en-US"/>
        </w:rPr>
      </w:pPr>
      <w:r w:rsidRPr="00CC216F">
        <w:rPr>
          <w:rFonts w:eastAsiaTheme="minorHAnsi"/>
          <w:bCs/>
          <w:lang w:val="en-US"/>
        </w:rPr>
        <w:t>Groves, RM. and Couper, MP. (1998) Nonresponse in Household Interview Surveys. New York: John Wiley &amp; Sons, Inc</w:t>
      </w:r>
      <w:r>
        <w:rPr>
          <w:rFonts w:eastAsiaTheme="minorHAnsi"/>
          <w:bCs/>
          <w:lang w:val="en-US"/>
        </w:rPr>
        <w:t>.</w:t>
      </w:r>
    </w:p>
    <w:p w14:paraId="7C5E3245" w14:textId="77777777" w:rsidR="008E38BA" w:rsidRPr="008E38BA" w:rsidRDefault="008E38BA" w:rsidP="0062640D">
      <w:pPr>
        <w:autoSpaceDE w:val="0"/>
        <w:autoSpaceDN w:val="0"/>
        <w:adjustRightInd w:val="0"/>
        <w:ind w:left="180" w:hanging="180"/>
        <w:rPr>
          <w:rFonts w:eastAsiaTheme="minorHAnsi"/>
          <w:bCs/>
          <w:lang w:val="en-US"/>
        </w:rPr>
      </w:pPr>
      <w:r w:rsidRPr="008E38BA">
        <w:rPr>
          <w:rFonts w:eastAsiaTheme="minorHAnsi"/>
          <w:bCs/>
          <w:lang w:val="en-US"/>
        </w:rPr>
        <w:t xml:space="preserve">Jäckle, A., Lynn, P., Sinibaldi, J. and Tipping, S. (2013). The Effect of Interviewer Experience, </w:t>
      </w:r>
    </w:p>
    <w:p w14:paraId="44BB779A" w14:textId="77777777" w:rsidR="008E38BA" w:rsidRPr="008E38BA" w:rsidRDefault="008E38BA" w:rsidP="0062640D">
      <w:pPr>
        <w:autoSpaceDE w:val="0"/>
        <w:autoSpaceDN w:val="0"/>
        <w:adjustRightInd w:val="0"/>
        <w:ind w:left="180" w:hanging="180"/>
        <w:rPr>
          <w:rFonts w:eastAsiaTheme="minorHAnsi"/>
          <w:bCs/>
          <w:lang w:val="en-US"/>
        </w:rPr>
      </w:pPr>
      <w:r w:rsidRPr="008E38BA">
        <w:rPr>
          <w:rFonts w:eastAsiaTheme="minorHAnsi"/>
          <w:bCs/>
          <w:lang w:val="en-US"/>
        </w:rPr>
        <w:t xml:space="preserve">Attitudes, Personality and Skills on Respondent Cooperation with Face-to-Face Surveys. </w:t>
      </w:r>
    </w:p>
    <w:p w14:paraId="758260E4" w14:textId="77777777" w:rsidR="008E38BA" w:rsidRDefault="008E38BA" w:rsidP="0062640D">
      <w:pPr>
        <w:autoSpaceDE w:val="0"/>
        <w:autoSpaceDN w:val="0"/>
        <w:adjustRightInd w:val="0"/>
        <w:ind w:left="180" w:hanging="180"/>
        <w:rPr>
          <w:rFonts w:eastAsiaTheme="minorHAnsi"/>
          <w:bCs/>
          <w:lang w:val="en-US"/>
        </w:rPr>
      </w:pPr>
      <w:r w:rsidRPr="008E38BA">
        <w:rPr>
          <w:rFonts w:eastAsiaTheme="minorHAnsi"/>
          <w:bCs/>
          <w:lang w:val="en-US"/>
        </w:rPr>
        <w:t xml:space="preserve">Survey Research Methods, 7, 1-152. </w:t>
      </w:r>
    </w:p>
    <w:p w14:paraId="5CB084CB" w14:textId="1EE70477" w:rsidR="00220E0C" w:rsidRDefault="00220E0C" w:rsidP="0062640D">
      <w:pPr>
        <w:autoSpaceDE w:val="0"/>
        <w:autoSpaceDN w:val="0"/>
        <w:adjustRightInd w:val="0"/>
        <w:ind w:left="180" w:hanging="180"/>
        <w:rPr>
          <w:rFonts w:eastAsiaTheme="minorHAnsi"/>
          <w:bCs/>
          <w:lang w:val="en-US"/>
        </w:rPr>
      </w:pPr>
      <w:r>
        <w:rPr>
          <w:rFonts w:eastAsiaTheme="minorHAnsi"/>
          <w:bCs/>
          <w:lang w:val="en-US"/>
        </w:rPr>
        <w:t>Loosveldt, G.,</w:t>
      </w:r>
      <w:r w:rsidRPr="00220E0C">
        <w:rPr>
          <w:rFonts w:eastAsiaTheme="minorHAnsi"/>
          <w:bCs/>
          <w:lang w:val="en-US"/>
        </w:rPr>
        <w:t xml:space="preserve"> and Beullens</w:t>
      </w:r>
      <w:r>
        <w:rPr>
          <w:rFonts w:eastAsiaTheme="minorHAnsi"/>
          <w:bCs/>
          <w:lang w:val="en-US"/>
        </w:rPr>
        <w:t>, K., (2014), “</w:t>
      </w:r>
      <w:r w:rsidRPr="00220E0C">
        <w:rPr>
          <w:rFonts w:eastAsiaTheme="minorHAnsi"/>
          <w:bCs/>
          <w:lang w:val="en-US"/>
        </w:rPr>
        <w:t>A Procedure to Assess Interviewer Effects on Nonresponse Bias</w:t>
      </w:r>
      <w:r>
        <w:rPr>
          <w:rFonts w:eastAsiaTheme="minorHAnsi"/>
          <w:bCs/>
          <w:lang w:val="en-US"/>
        </w:rPr>
        <w:t xml:space="preserve">”, </w:t>
      </w:r>
      <w:r w:rsidRPr="00220E0C">
        <w:rPr>
          <w:rFonts w:eastAsiaTheme="minorHAnsi"/>
          <w:bCs/>
          <w:lang w:val="en-US"/>
        </w:rPr>
        <w:t xml:space="preserve">SAGE Open January-March 2014: 1–12 </w:t>
      </w:r>
    </w:p>
    <w:p w14:paraId="5CEBC216" w14:textId="2ED0F310" w:rsidR="00646F00" w:rsidRDefault="00646F00" w:rsidP="0062640D">
      <w:pPr>
        <w:autoSpaceDE w:val="0"/>
        <w:autoSpaceDN w:val="0"/>
        <w:adjustRightInd w:val="0"/>
        <w:ind w:left="180" w:hanging="180"/>
        <w:rPr>
          <w:rFonts w:eastAsiaTheme="minorHAnsi"/>
          <w:bCs/>
          <w:lang w:val="en-US"/>
        </w:rPr>
      </w:pPr>
      <w:r w:rsidRPr="00646F00">
        <w:rPr>
          <w:rFonts w:eastAsiaTheme="minorHAnsi"/>
          <w:bCs/>
          <w:lang w:val="en-US"/>
        </w:rPr>
        <w:t>O</w:t>
      </w:r>
      <w:r>
        <w:rPr>
          <w:rFonts w:eastAsiaTheme="minorHAnsi"/>
          <w:bCs/>
          <w:lang w:val="en-US"/>
        </w:rPr>
        <w:t xml:space="preserve">lson, K, and </w:t>
      </w:r>
      <w:r w:rsidRPr="00646F00">
        <w:rPr>
          <w:rFonts w:eastAsiaTheme="minorHAnsi"/>
          <w:bCs/>
          <w:lang w:val="en-US"/>
        </w:rPr>
        <w:t>B</w:t>
      </w:r>
      <w:r>
        <w:rPr>
          <w:rFonts w:eastAsiaTheme="minorHAnsi"/>
          <w:bCs/>
          <w:lang w:val="en-US"/>
        </w:rPr>
        <w:t xml:space="preserve">ilgen, I, (2011), </w:t>
      </w:r>
      <w:r w:rsidRPr="00646F00">
        <w:rPr>
          <w:rFonts w:eastAsiaTheme="minorHAnsi"/>
          <w:bCs/>
          <w:lang w:val="en-US"/>
        </w:rPr>
        <w:t>Public Opinion Quarterly, Vol. 75, No. 1, Spring 2011, pp. 99–114</w:t>
      </w:r>
    </w:p>
    <w:p w14:paraId="55E0FDA3" w14:textId="299EFBAB" w:rsidR="00DA32E6" w:rsidRPr="00DA32E6" w:rsidRDefault="00DA32E6" w:rsidP="0062640D">
      <w:pPr>
        <w:autoSpaceDE w:val="0"/>
        <w:autoSpaceDN w:val="0"/>
        <w:adjustRightInd w:val="0"/>
        <w:ind w:left="180" w:hanging="180"/>
        <w:rPr>
          <w:rFonts w:eastAsiaTheme="minorHAnsi"/>
          <w:bCs/>
          <w:lang w:val="en-US"/>
        </w:rPr>
      </w:pPr>
      <w:r>
        <w:rPr>
          <w:rFonts w:eastAsiaTheme="minorHAnsi"/>
          <w:bCs/>
          <w:lang w:val="en-US"/>
        </w:rPr>
        <w:t xml:space="preserve">West, B, and Blom, A., (2017), “Explaining interviewer effects: A research synthesis’, </w:t>
      </w:r>
      <w:r w:rsidRPr="00DA32E6">
        <w:rPr>
          <w:rFonts w:eastAsiaTheme="minorHAnsi"/>
          <w:bCs/>
          <w:lang w:val="en-US"/>
        </w:rPr>
        <w:t>Journal of Survey Statistics and Methodology (2017) 5, 175–211</w:t>
      </w:r>
      <w:r>
        <w:rPr>
          <w:rFonts w:eastAsiaTheme="minorHAnsi"/>
          <w:bCs/>
          <w:lang w:val="en-US"/>
        </w:rPr>
        <w:t>.</w:t>
      </w:r>
    </w:p>
    <w:sectPr w:rsidR="00DA32E6" w:rsidRPr="00DA32E6" w:rsidSect="00646F0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B8C77" w14:textId="77777777" w:rsidR="00CA71E9" w:rsidRDefault="00CA71E9" w:rsidP="00C51535">
      <w:r>
        <w:separator/>
      </w:r>
    </w:p>
  </w:endnote>
  <w:endnote w:type="continuationSeparator" w:id="0">
    <w:p w14:paraId="7E67977F" w14:textId="77777777" w:rsidR="00CA71E9" w:rsidRDefault="00CA71E9" w:rsidP="00C5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B9F07" w14:textId="77777777" w:rsidR="00CA71E9" w:rsidRDefault="00CA71E9" w:rsidP="00C51535">
      <w:r>
        <w:separator/>
      </w:r>
    </w:p>
  </w:footnote>
  <w:footnote w:type="continuationSeparator" w:id="0">
    <w:p w14:paraId="29AB6F12" w14:textId="77777777" w:rsidR="00CA71E9" w:rsidRDefault="00CA71E9" w:rsidP="00C515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94815"/>
    <w:multiLevelType w:val="hybridMultilevel"/>
    <w:tmpl w:val="11121D22"/>
    <w:lvl w:ilvl="0" w:tplc="03C26A10">
      <w:start w:val="1"/>
      <w:numFmt w:val="bullet"/>
      <w:lvlText w:val="•"/>
      <w:lvlJc w:val="left"/>
      <w:pPr>
        <w:tabs>
          <w:tab w:val="num" w:pos="720"/>
        </w:tabs>
        <w:ind w:left="720" w:hanging="360"/>
      </w:pPr>
      <w:rPr>
        <w:rFonts w:ascii="Arial" w:hAnsi="Arial" w:hint="default"/>
      </w:rPr>
    </w:lvl>
    <w:lvl w:ilvl="1" w:tplc="4E708D36" w:tentative="1">
      <w:start w:val="1"/>
      <w:numFmt w:val="bullet"/>
      <w:lvlText w:val="•"/>
      <w:lvlJc w:val="left"/>
      <w:pPr>
        <w:tabs>
          <w:tab w:val="num" w:pos="1440"/>
        </w:tabs>
        <w:ind w:left="1440" w:hanging="360"/>
      </w:pPr>
      <w:rPr>
        <w:rFonts w:ascii="Arial" w:hAnsi="Arial" w:hint="default"/>
      </w:rPr>
    </w:lvl>
    <w:lvl w:ilvl="2" w:tplc="F23A6552" w:tentative="1">
      <w:start w:val="1"/>
      <w:numFmt w:val="bullet"/>
      <w:lvlText w:val="•"/>
      <w:lvlJc w:val="left"/>
      <w:pPr>
        <w:tabs>
          <w:tab w:val="num" w:pos="2160"/>
        </w:tabs>
        <w:ind w:left="2160" w:hanging="360"/>
      </w:pPr>
      <w:rPr>
        <w:rFonts w:ascii="Arial" w:hAnsi="Arial" w:hint="default"/>
      </w:rPr>
    </w:lvl>
    <w:lvl w:ilvl="3" w:tplc="72C2E8DA" w:tentative="1">
      <w:start w:val="1"/>
      <w:numFmt w:val="bullet"/>
      <w:lvlText w:val="•"/>
      <w:lvlJc w:val="left"/>
      <w:pPr>
        <w:tabs>
          <w:tab w:val="num" w:pos="2880"/>
        </w:tabs>
        <w:ind w:left="2880" w:hanging="360"/>
      </w:pPr>
      <w:rPr>
        <w:rFonts w:ascii="Arial" w:hAnsi="Arial" w:hint="default"/>
      </w:rPr>
    </w:lvl>
    <w:lvl w:ilvl="4" w:tplc="77F67332" w:tentative="1">
      <w:start w:val="1"/>
      <w:numFmt w:val="bullet"/>
      <w:lvlText w:val="•"/>
      <w:lvlJc w:val="left"/>
      <w:pPr>
        <w:tabs>
          <w:tab w:val="num" w:pos="3600"/>
        </w:tabs>
        <w:ind w:left="3600" w:hanging="360"/>
      </w:pPr>
      <w:rPr>
        <w:rFonts w:ascii="Arial" w:hAnsi="Arial" w:hint="default"/>
      </w:rPr>
    </w:lvl>
    <w:lvl w:ilvl="5" w:tplc="C7361F00" w:tentative="1">
      <w:start w:val="1"/>
      <w:numFmt w:val="bullet"/>
      <w:lvlText w:val="•"/>
      <w:lvlJc w:val="left"/>
      <w:pPr>
        <w:tabs>
          <w:tab w:val="num" w:pos="4320"/>
        </w:tabs>
        <w:ind w:left="4320" w:hanging="360"/>
      </w:pPr>
      <w:rPr>
        <w:rFonts w:ascii="Arial" w:hAnsi="Arial" w:hint="default"/>
      </w:rPr>
    </w:lvl>
    <w:lvl w:ilvl="6" w:tplc="A492E2F2" w:tentative="1">
      <w:start w:val="1"/>
      <w:numFmt w:val="bullet"/>
      <w:lvlText w:val="•"/>
      <w:lvlJc w:val="left"/>
      <w:pPr>
        <w:tabs>
          <w:tab w:val="num" w:pos="5040"/>
        </w:tabs>
        <w:ind w:left="5040" w:hanging="360"/>
      </w:pPr>
      <w:rPr>
        <w:rFonts w:ascii="Arial" w:hAnsi="Arial" w:hint="default"/>
      </w:rPr>
    </w:lvl>
    <w:lvl w:ilvl="7" w:tplc="E424D10C" w:tentative="1">
      <w:start w:val="1"/>
      <w:numFmt w:val="bullet"/>
      <w:lvlText w:val="•"/>
      <w:lvlJc w:val="left"/>
      <w:pPr>
        <w:tabs>
          <w:tab w:val="num" w:pos="5760"/>
        </w:tabs>
        <w:ind w:left="5760" w:hanging="360"/>
      </w:pPr>
      <w:rPr>
        <w:rFonts w:ascii="Arial" w:hAnsi="Arial" w:hint="default"/>
      </w:rPr>
    </w:lvl>
    <w:lvl w:ilvl="8" w:tplc="60DE828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F33CDD"/>
    <w:multiLevelType w:val="hybridMultilevel"/>
    <w:tmpl w:val="4C68BE2A"/>
    <w:lvl w:ilvl="0" w:tplc="C29A1B56">
      <w:start w:val="1"/>
      <w:numFmt w:val="bullet"/>
      <w:lvlText w:val="•"/>
      <w:lvlJc w:val="left"/>
      <w:pPr>
        <w:tabs>
          <w:tab w:val="num" w:pos="720"/>
        </w:tabs>
        <w:ind w:left="720" w:hanging="360"/>
      </w:pPr>
      <w:rPr>
        <w:rFonts w:ascii="Arial" w:hAnsi="Arial" w:hint="default"/>
      </w:rPr>
    </w:lvl>
    <w:lvl w:ilvl="1" w:tplc="25DA6060" w:tentative="1">
      <w:start w:val="1"/>
      <w:numFmt w:val="bullet"/>
      <w:lvlText w:val="•"/>
      <w:lvlJc w:val="left"/>
      <w:pPr>
        <w:tabs>
          <w:tab w:val="num" w:pos="1440"/>
        </w:tabs>
        <w:ind w:left="1440" w:hanging="360"/>
      </w:pPr>
      <w:rPr>
        <w:rFonts w:ascii="Arial" w:hAnsi="Arial" w:hint="default"/>
      </w:rPr>
    </w:lvl>
    <w:lvl w:ilvl="2" w:tplc="AB9ADA9C" w:tentative="1">
      <w:start w:val="1"/>
      <w:numFmt w:val="bullet"/>
      <w:lvlText w:val="•"/>
      <w:lvlJc w:val="left"/>
      <w:pPr>
        <w:tabs>
          <w:tab w:val="num" w:pos="2160"/>
        </w:tabs>
        <w:ind w:left="2160" w:hanging="360"/>
      </w:pPr>
      <w:rPr>
        <w:rFonts w:ascii="Arial" w:hAnsi="Arial" w:hint="default"/>
      </w:rPr>
    </w:lvl>
    <w:lvl w:ilvl="3" w:tplc="3A94C16A" w:tentative="1">
      <w:start w:val="1"/>
      <w:numFmt w:val="bullet"/>
      <w:lvlText w:val="•"/>
      <w:lvlJc w:val="left"/>
      <w:pPr>
        <w:tabs>
          <w:tab w:val="num" w:pos="2880"/>
        </w:tabs>
        <w:ind w:left="2880" w:hanging="360"/>
      </w:pPr>
      <w:rPr>
        <w:rFonts w:ascii="Arial" w:hAnsi="Arial" w:hint="default"/>
      </w:rPr>
    </w:lvl>
    <w:lvl w:ilvl="4" w:tplc="7FA68BB0" w:tentative="1">
      <w:start w:val="1"/>
      <w:numFmt w:val="bullet"/>
      <w:lvlText w:val="•"/>
      <w:lvlJc w:val="left"/>
      <w:pPr>
        <w:tabs>
          <w:tab w:val="num" w:pos="3600"/>
        </w:tabs>
        <w:ind w:left="3600" w:hanging="360"/>
      </w:pPr>
      <w:rPr>
        <w:rFonts w:ascii="Arial" w:hAnsi="Arial" w:hint="default"/>
      </w:rPr>
    </w:lvl>
    <w:lvl w:ilvl="5" w:tplc="455071C0" w:tentative="1">
      <w:start w:val="1"/>
      <w:numFmt w:val="bullet"/>
      <w:lvlText w:val="•"/>
      <w:lvlJc w:val="left"/>
      <w:pPr>
        <w:tabs>
          <w:tab w:val="num" w:pos="4320"/>
        </w:tabs>
        <w:ind w:left="4320" w:hanging="360"/>
      </w:pPr>
      <w:rPr>
        <w:rFonts w:ascii="Arial" w:hAnsi="Arial" w:hint="default"/>
      </w:rPr>
    </w:lvl>
    <w:lvl w:ilvl="6" w:tplc="32123938" w:tentative="1">
      <w:start w:val="1"/>
      <w:numFmt w:val="bullet"/>
      <w:lvlText w:val="•"/>
      <w:lvlJc w:val="left"/>
      <w:pPr>
        <w:tabs>
          <w:tab w:val="num" w:pos="5040"/>
        </w:tabs>
        <w:ind w:left="5040" w:hanging="360"/>
      </w:pPr>
      <w:rPr>
        <w:rFonts w:ascii="Arial" w:hAnsi="Arial" w:hint="default"/>
      </w:rPr>
    </w:lvl>
    <w:lvl w:ilvl="7" w:tplc="9D98376A" w:tentative="1">
      <w:start w:val="1"/>
      <w:numFmt w:val="bullet"/>
      <w:lvlText w:val="•"/>
      <w:lvlJc w:val="left"/>
      <w:pPr>
        <w:tabs>
          <w:tab w:val="num" w:pos="5760"/>
        </w:tabs>
        <w:ind w:left="5760" w:hanging="360"/>
      </w:pPr>
      <w:rPr>
        <w:rFonts w:ascii="Arial" w:hAnsi="Arial" w:hint="default"/>
      </w:rPr>
    </w:lvl>
    <w:lvl w:ilvl="8" w:tplc="4D52AB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8A94B57"/>
    <w:multiLevelType w:val="hybridMultilevel"/>
    <w:tmpl w:val="398E5FF8"/>
    <w:lvl w:ilvl="0" w:tplc="424CC216">
      <w:start w:val="1"/>
      <w:numFmt w:val="bullet"/>
      <w:lvlText w:val="•"/>
      <w:lvlJc w:val="left"/>
      <w:pPr>
        <w:tabs>
          <w:tab w:val="num" w:pos="720"/>
        </w:tabs>
        <w:ind w:left="720" w:hanging="360"/>
      </w:pPr>
      <w:rPr>
        <w:rFonts w:ascii="Arial" w:hAnsi="Arial" w:hint="default"/>
      </w:rPr>
    </w:lvl>
    <w:lvl w:ilvl="1" w:tplc="7AF218D0">
      <w:start w:val="1"/>
      <w:numFmt w:val="bullet"/>
      <w:lvlText w:val="•"/>
      <w:lvlJc w:val="left"/>
      <w:pPr>
        <w:tabs>
          <w:tab w:val="num" w:pos="1440"/>
        </w:tabs>
        <w:ind w:left="1440" w:hanging="360"/>
      </w:pPr>
      <w:rPr>
        <w:rFonts w:ascii="Arial" w:hAnsi="Arial" w:hint="default"/>
      </w:rPr>
    </w:lvl>
    <w:lvl w:ilvl="2" w:tplc="2EB43A4E" w:tentative="1">
      <w:start w:val="1"/>
      <w:numFmt w:val="bullet"/>
      <w:lvlText w:val="•"/>
      <w:lvlJc w:val="left"/>
      <w:pPr>
        <w:tabs>
          <w:tab w:val="num" w:pos="2160"/>
        </w:tabs>
        <w:ind w:left="2160" w:hanging="360"/>
      </w:pPr>
      <w:rPr>
        <w:rFonts w:ascii="Arial" w:hAnsi="Arial" w:hint="default"/>
      </w:rPr>
    </w:lvl>
    <w:lvl w:ilvl="3" w:tplc="30069C2E" w:tentative="1">
      <w:start w:val="1"/>
      <w:numFmt w:val="bullet"/>
      <w:lvlText w:val="•"/>
      <w:lvlJc w:val="left"/>
      <w:pPr>
        <w:tabs>
          <w:tab w:val="num" w:pos="2880"/>
        </w:tabs>
        <w:ind w:left="2880" w:hanging="360"/>
      </w:pPr>
      <w:rPr>
        <w:rFonts w:ascii="Arial" w:hAnsi="Arial" w:hint="default"/>
      </w:rPr>
    </w:lvl>
    <w:lvl w:ilvl="4" w:tplc="FA7AA0FA" w:tentative="1">
      <w:start w:val="1"/>
      <w:numFmt w:val="bullet"/>
      <w:lvlText w:val="•"/>
      <w:lvlJc w:val="left"/>
      <w:pPr>
        <w:tabs>
          <w:tab w:val="num" w:pos="3600"/>
        </w:tabs>
        <w:ind w:left="3600" w:hanging="360"/>
      </w:pPr>
      <w:rPr>
        <w:rFonts w:ascii="Arial" w:hAnsi="Arial" w:hint="default"/>
      </w:rPr>
    </w:lvl>
    <w:lvl w:ilvl="5" w:tplc="39C00B2A" w:tentative="1">
      <w:start w:val="1"/>
      <w:numFmt w:val="bullet"/>
      <w:lvlText w:val="•"/>
      <w:lvlJc w:val="left"/>
      <w:pPr>
        <w:tabs>
          <w:tab w:val="num" w:pos="4320"/>
        </w:tabs>
        <w:ind w:left="4320" w:hanging="360"/>
      </w:pPr>
      <w:rPr>
        <w:rFonts w:ascii="Arial" w:hAnsi="Arial" w:hint="default"/>
      </w:rPr>
    </w:lvl>
    <w:lvl w:ilvl="6" w:tplc="B7523416" w:tentative="1">
      <w:start w:val="1"/>
      <w:numFmt w:val="bullet"/>
      <w:lvlText w:val="•"/>
      <w:lvlJc w:val="left"/>
      <w:pPr>
        <w:tabs>
          <w:tab w:val="num" w:pos="5040"/>
        </w:tabs>
        <w:ind w:left="5040" w:hanging="360"/>
      </w:pPr>
      <w:rPr>
        <w:rFonts w:ascii="Arial" w:hAnsi="Arial" w:hint="default"/>
      </w:rPr>
    </w:lvl>
    <w:lvl w:ilvl="7" w:tplc="AEE65D80" w:tentative="1">
      <w:start w:val="1"/>
      <w:numFmt w:val="bullet"/>
      <w:lvlText w:val="•"/>
      <w:lvlJc w:val="left"/>
      <w:pPr>
        <w:tabs>
          <w:tab w:val="num" w:pos="5760"/>
        </w:tabs>
        <w:ind w:left="5760" w:hanging="360"/>
      </w:pPr>
      <w:rPr>
        <w:rFonts w:ascii="Arial" w:hAnsi="Arial" w:hint="default"/>
      </w:rPr>
    </w:lvl>
    <w:lvl w:ilvl="8" w:tplc="7FCE5F7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cyNjAzNjYytjQ3MjNX0lEKTi0uzszPAykwNKgFAHE+5+YtAAAA"/>
  </w:docVars>
  <w:rsids>
    <w:rsidRoot w:val="00757C76"/>
    <w:rsid w:val="00003D12"/>
    <w:rsid w:val="00044F39"/>
    <w:rsid w:val="00093D04"/>
    <w:rsid w:val="000964B7"/>
    <w:rsid w:val="000D40B7"/>
    <w:rsid w:val="000D4618"/>
    <w:rsid w:val="000E483E"/>
    <w:rsid w:val="000F2EA3"/>
    <w:rsid w:val="00100B64"/>
    <w:rsid w:val="0011263C"/>
    <w:rsid w:val="00135BAE"/>
    <w:rsid w:val="001403A5"/>
    <w:rsid w:val="0016085F"/>
    <w:rsid w:val="001B08FC"/>
    <w:rsid w:val="001B73AC"/>
    <w:rsid w:val="001C7A9A"/>
    <w:rsid w:val="001E2500"/>
    <w:rsid w:val="001E33CC"/>
    <w:rsid w:val="001E3596"/>
    <w:rsid w:val="0020246D"/>
    <w:rsid w:val="002129A7"/>
    <w:rsid w:val="00220E0C"/>
    <w:rsid w:val="00227239"/>
    <w:rsid w:val="00230C45"/>
    <w:rsid w:val="00236A62"/>
    <w:rsid w:val="00275771"/>
    <w:rsid w:val="00291384"/>
    <w:rsid w:val="00292247"/>
    <w:rsid w:val="002A3D0B"/>
    <w:rsid w:val="002A7756"/>
    <w:rsid w:val="002C5DE2"/>
    <w:rsid w:val="0032639D"/>
    <w:rsid w:val="00382BCB"/>
    <w:rsid w:val="003C4B0C"/>
    <w:rsid w:val="003F7B7C"/>
    <w:rsid w:val="00404A89"/>
    <w:rsid w:val="00406838"/>
    <w:rsid w:val="004531B6"/>
    <w:rsid w:val="00461965"/>
    <w:rsid w:val="004774F7"/>
    <w:rsid w:val="00493649"/>
    <w:rsid w:val="004F28BA"/>
    <w:rsid w:val="004F6898"/>
    <w:rsid w:val="00510507"/>
    <w:rsid w:val="00522A56"/>
    <w:rsid w:val="00545102"/>
    <w:rsid w:val="00572C79"/>
    <w:rsid w:val="00585CBB"/>
    <w:rsid w:val="005A0D88"/>
    <w:rsid w:val="005C79EB"/>
    <w:rsid w:val="0062640D"/>
    <w:rsid w:val="00646F00"/>
    <w:rsid w:val="006C4906"/>
    <w:rsid w:val="006E17D0"/>
    <w:rsid w:val="006F248F"/>
    <w:rsid w:val="00720B2D"/>
    <w:rsid w:val="00756716"/>
    <w:rsid w:val="00757C76"/>
    <w:rsid w:val="007605F8"/>
    <w:rsid w:val="00780462"/>
    <w:rsid w:val="00780C10"/>
    <w:rsid w:val="00785A3D"/>
    <w:rsid w:val="00823498"/>
    <w:rsid w:val="00840BAB"/>
    <w:rsid w:val="00840EA8"/>
    <w:rsid w:val="00855910"/>
    <w:rsid w:val="00890CB7"/>
    <w:rsid w:val="008A663A"/>
    <w:rsid w:val="008D0841"/>
    <w:rsid w:val="008E38BA"/>
    <w:rsid w:val="0092040D"/>
    <w:rsid w:val="009254F5"/>
    <w:rsid w:val="009C7375"/>
    <w:rsid w:val="009D3461"/>
    <w:rsid w:val="009E64C8"/>
    <w:rsid w:val="009F4FB7"/>
    <w:rsid w:val="00A01E26"/>
    <w:rsid w:val="00A2412F"/>
    <w:rsid w:val="00A302D9"/>
    <w:rsid w:val="00A33793"/>
    <w:rsid w:val="00A67705"/>
    <w:rsid w:val="00B12AAC"/>
    <w:rsid w:val="00B33F0F"/>
    <w:rsid w:val="00B57E02"/>
    <w:rsid w:val="00B679E4"/>
    <w:rsid w:val="00B73BD9"/>
    <w:rsid w:val="00BB069E"/>
    <w:rsid w:val="00BF49B9"/>
    <w:rsid w:val="00C02388"/>
    <w:rsid w:val="00C43792"/>
    <w:rsid w:val="00C51535"/>
    <w:rsid w:val="00C614D6"/>
    <w:rsid w:val="00C96996"/>
    <w:rsid w:val="00CA1F5D"/>
    <w:rsid w:val="00CA71E9"/>
    <w:rsid w:val="00CC216F"/>
    <w:rsid w:val="00CD5209"/>
    <w:rsid w:val="00CF3110"/>
    <w:rsid w:val="00D2104C"/>
    <w:rsid w:val="00D250A3"/>
    <w:rsid w:val="00D41D6A"/>
    <w:rsid w:val="00D55B1A"/>
    <w:rsid w:val="00DA32E6"/>
    <w:rsid w:val="00DA4CFC"/>
    <w:rsid w:val="00DB1320"/>
    <w:rsid w:val="00DB1C5F"/>
    <w:rsid w:val="00E1741F"/>
    <w:rsid w:val="00E302B4"/>
    <w:rsid w:val="00E3320E"/>
    <w:rsid w:val="00E3480F"/>
    <w:rsid w:val="00E677EC"/>
    <w:rsid w:val="00EB002B"/>
    <w:rsid w:val="00ED758C"/>
    <w:rsid w:val="00EE50FE"/>
    <w:rsid w:val="00EF1F98"/>
    <w:rsid w:val="00F0002D"/>
    <w:rsid w:val="00F22898"/>
    <w:rsid w:val="00F37C31"/>
    <w:rsid w:val="00F46258"/>
    <w:rsid w:val="00F47F76"/>
    <w:rsid w:val="00F776E2"/>
    <w:rsid w:val="00F77988"/>
    <w:rsid w:val="00F91D5B"/>
    <w:rsid w:val="00FB7474"/>
    <w:rsid w:val="00FF5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F5594"/>
  <w15:chartTrackingRefBased/>
  <w15:docId w15:val="{0FEB323E-7904-4415-B753-405467C3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C76"/>
    <w:pPr>
      <w:spacing w:after="0" w:line="240" w:lineRule="auto"/>
    </w:pPr>
    <w:rPr>
      <w:rFonts w:ascii="Times New Roman" w:eastAsia="SimSu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CopyChar">
    <w:name w:val="Body Copy Char"/>
    <w:basedOn w:val="DefaultParagraphFont"/>
    <w:link w:val="BodyCopy"/>
    <w:locked/>
    <w:rsid w:val="00757C76"/>
    <w:rPr>
      <w:lang w:val="en-CA"/>
    </w:rPr>
  </w:style>
  <w:style w:type="paragraph" w:customStyle="1" w:styleId="BodyCopy">
    <w:name w:val="Body Copy"/>
    <w:basedOn w:val="Normal"/>
    <w:link w:val="BodyCopyChar"/>
    <w:autoRedefine/>
    <w:rsid w:val="00757C76"/>
    <w:pPr>
      <w:jc w:val="both"/>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3F7B7C"/>
    <w:rPr>
      <w:sz w:val="16"/>
      <w:szCs w:val="16"/>
    </w:rPr>
  </w:style>
  <w:style w:type="paragraph" w:styleId="CommentText">
    <w:name w:val="annotation text"/>
    <w:basedOn w:val="Normal"/>
    <w:link w:val="CommentTextChar"/>
    <w:uiPriority w:val="99"/>
    <w:unhideWhenUsed/>
    <w:rsid w:val="003F7B7C"/>
    <w:rPr>
      <w:sz w:val="20"/>
      <w:szCs w:val="20"/>
    </w:rPr>
  </w:style>
  <w:style w:type="character" w:customStyle="1" w:styleId="CommentTextChar">
    <w:name w:val="Comment Text Char"/>
    <w:basedOn w:val="DefaultParagraphFont"/>
    <w:link w:val="CommentText"/>
    <w:uiPriority w:val="99"/>
    <w:rsid w:val="003F7B7C"/>
    <w:rPr>
      <w:rFonts w:ascii="Times New Roman" w:eastAsia="SimSu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3F7B7C"/>
    <w:rPr>
      <w:b/>
      <w:bCs/>
    </w:rPr>
  </w:style>
  <w:style w:type="character" w:customStyle="1" w:styleId="CommentSubjectChar">
    <w:name w:val="Comment Subject Char"/>
    <w:basedOn w:val="CommentTextChar"/>
    <w:link w:val="CommentSubject"/>
    <w:uiPriority w:val="99"/>
    <w:semiHidden/>
    <w:rsid w:val="003F7B7C"/>
    <w:rPr>
      <w:rFonts w:ascii="Times New Roman" w:eastAsia="SimSun" w:hAnsi="Times New Roman" w:cs="Times New Roman"/>
      <w:b/>
      <w:bCs/>
      <w:sz w:val="20"/>
      <w:szCs w:val="20"/>
      <w:lang w:val="en-CA"/>
    </w:rPr>
  </w:style>
  <w:style w:type="paragraph" w:styleId="BalloonText">
    <w:name w:val="Balloon Text"/>
    <w:basedOn w:val="Normal"/>
    <w:link w:val="BalloonTextChar"/>
    <w:uiPriority w:val="99"/>
    <w:semiHidden/>
    <w:unhideWhenUsed/>
    <w:rsid w:val="003F7B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B7C"/>
    <w:rPr>
      <w:rFonts w:ascii="Segoe UI" w:eastAsia="SimSun" w:hAnsi="Segoe UI" w:cs="Segoe UI"/>
      <w:sz w:val="18"/>
      <w:szCs w:val="18"/>
      <w:lang w:val="en-CA"/>
    </w:rPr>
  </w:style>
  <w:style w:type="paragraph" w:styleId="Revision">
    <w:name w:val="Revision"/>
    <w:hidden/>
    <w:uiPriority w:val="99"/>
    <w:semiHidden/>
    <w:rsid w:val="00EB002B"/>
    <w:pPr>
      <w:spacing w:after="0" w:line="240" w:lineRule="auto"/>
    </w:pPr>
    <w:rPr>
      <w:rFonts w:ascii="Times New Roman" w:eastAsia="SimSu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0827">
      <w:bodyDiv w:val="1"/>
      <w:marLeft w:val="0"/>
      <w:marRight w:val="0"/>
      <w:marTop w:val="0"/>
      <w:marBottom w:val="0"/>
      <w:divBdr>
        <w:top w:val="none" w:sz="0" w:space="0" w:color="auto"/>
        <w:left w:val="none" w:sz="0" w:space="0" w:color="auto"/>
        <w:bottom w:val="none" w:sz="0" w:space="0" w:color="auto"/>
        <w:right w:val="none" w:sz="0" w:space="0" w:color="auto"/>
      </w:divBdr>
    </w:div>
    <w:div w:id="179054931">
      <w:bodyDiv w:val="1"/>
      <w:marLeft w:val="0"/>
      <w:marRight w:val="0"/>
      <w:marTop w:val="0"/>
      <w:marBottom w:val="0"/>
      <w:divBdr>
        <w:top w:val="none" w:sz="0" w:space="0" w:color="auto"/>
        <w:left w:val="none" w:sz="0" w:space="0" w:color="auto"/>
        <w:bottom w:val="none" w:sz="0" w:space="0" w:color="auto"/>
        <w:right w:val="none" w:sz="0" w:space="0" w:color="auto"/>
      </w:divBdr>
    </w:div>
    <w:div w:id="484586031">
      <w:bodyDiv w:val="1"/>
      <w:marLeft w:val="0"/>
      <w:marRight w:val="0"/>
      <w:marTop w:val="0"/>
      <w:marBottom w:val="0"/>
      <w:divBdr>
        <w:top w:val="none" w:sz="0" w:space="0" w:color="auto"/>
        <w:left w:val="none" w:sz="0" w:space="0" w:color="auto"/>
        <w:bottom w:val="none" w:sz="0" w:space="0" w:color="auto"/>
        <w:right w:val="none" w:sz="0" w:space="0" w:color="auto"/>
      </w:divBdr>
      <w:divsChild>
        <w:div w:id="2030913870">
          <w:marLeft w:val="1440"/>
          <w:marRight w:val="0"/>
          <w:marTop w:val="100"/>
          <w:marBottom w:val="0"/>
          <w:divBdr>
            <w:top w:val="none" w:sz="0" w:space="0" w:color="auto"/>
            <w:left w:val="none" w:sz="0" w:space="0" w:color="auto"/>
            <w:bottom w:val="none" w:sz="0" w:space="0" w:color="auto"/>
            <w:right w:val="none" w:sz="0" w:space="0" w:color="auto"/>
          </w:divBdr>
        </w:div>
        <w:div w:id="1762950900">
          <w:marLeft w:val="1440"/>
          <w:marRight w:val="0"/>
          <w:marTop w:val="100"/>
          <w:marBottom w:val="0"/>
          <w:divBdr>
            <w:top w:val="none" w:sz="0" w:space="0" w:color="auto"/>
            <w:left w:val="none" w:sz="0" w:space="0" w:color="auto"/>
            <w:bottom w:val="none" w:sz="0" w:space="0" w:color="auto"/>
            <w:right w:val="none" w:sz="0" w:space="0" w:color="auto"/>
          </w:divBdr>
        </w:div>
        <w:div w:id="2001762797">
          <w:marLeft w:val="1440"/>
          <w:marRight w:val="0"/>
          <w:marTop w:val="100"/>
          <w:marBottom w:val="0"/>
          <w:divBdr>
            <w:top w:val="none" w:sz="0" w:space="0" w:color="auto"/>
            <w:left w:val="none" w:sz="0" w:space="0" w:color="auto"/>
            <w:bottom w:val="none" w:sz="0" w:space="0" w:color="auto"/>
            <w:right w:val="none" w:sz="0" w:space="0" w:color="auto"/>
          </w:divBdr>
        </w:div>
        <w:div w:id="677661117">
          <w:marLeft w:val="1440"/>
          <w:marRight w:val="0"/>
          <w:marTop w:val="100"/>
          <w:marBottom w:val="0"/>
          <w:divBdr>
            <w:top w:val="none" w:sz="0" w:space="0" w:color="auto"/>
            <w:left w:val="none" w:sz="0" w:space="0" w:color="auto"/>
            <w:bottom w:val="none" w:sz="0" w:space="0" w:color="auto"/>
            <w:right w:val="none" w:sz="0" w:space="0" w:color="auto"/>
          </w:divBdr>
        </w:div>
        <w:div w:id="989947770">
          <w:marLeft w:val="1440"/>
          <w:marRight w:val="0"/>
          <w:marTop w:val="100"/>
          <w:marBottom w:val="0"/>
          <w:divBdr>
            <w:top w:val="none" w:sz="0" w:space="0" w:color="auto"/>
            <w:left w:val="none" w:sz="0" w:space="0" w:color="auto"/>
            <w:bottom w:val="none" w:sz="0" w:space="0" w:color="auto"/>
            <w:right w:val="none" w:sz="0" w:space="0" w:color="auto"/>
          </w:divBdr>
        </w:div>
        <w:div w:id="1392969449">
          <w:marLeft w:val="1440"/>
          <w:marRight w:val="0"/>
          <w:marTop w:val="100"/>
          <w:marBottom w:val="0"/>
          <w:divBdr>
            <w:top w:val="none" w:sz="0" w:space="0" w:color="auto"/>
            <w:left w:val="none" w:sz="0" w:space="0" w:color="auto"/>
            <w:bottom w:val="none" w:sz="0" w:space="0" w:color="auto"/>
            <w:right w:val="none" w:sz="0" w:space="0" w:color="auto"/>
          </w:divBdr>
        </w:div>
      </w:divsChild>
    </w:div>
    <w:div w:id="803695479">
      <w:bodyDiv w:val="1"/>
      <w:marLeft w:val="0"/>
      <w:marRight w:val="0"/>
      <w:marTop w:val="0"/>
      <w:marBottom w:val="0"/>
      <w:divBdr>
        <w:top w:val="none" w:sz="0" w:space="0" w:color="auto"/>
        <w:left w:val="none" w:sz="0" w:space="0" w:color="auto"/>
        <w:bottom w:val="none" w:sz="0" w:space="0" w:color="auto"/>
        <w:right w:val="none" w:sz="0" w:space="0" w:color="auto"/>
      </w:divBdr>
    </w:div>
    <w:div w:id="808547561">
      <w:bodyDiv w:val="1"/>
      <w:marLeft w:val="0"/>
      <w:marRight w:val="0"/>
      <w:marTop w:val="0"/>
      <w:marBottom w:val="0"/>
      <w:divBdr>
        <w:top w:val="none" w:sz="0" w:space="0" w:color="auto"/>
        <w:left w:val="none" w:sz="0" w:space="0" w:color="auto"/>
        <w:bottom w:val="none" w:sz="0" w:space="0" w:color="auto"/>
        <w:right w:val="none" w:sz="0" w:space="0" w:color="auto"/>
      </w:divBdr>
      <w:divsChild>
        <w:div w:id="840464373">
          <w:marLeft w:val="547"/>
          <w:marRight w:val="0"/>
          <w:marTop w:val="200"/>
          <w:marBottom w:val="0"/>
          <w:divBdr>
            <w:top w:val="none" w:sz="0" w:space="0" w:color="auto"/>
            <w:left w:val="none" w:sz="0" w:space="0" w:color="auto"/>
            <w:bottom w:val="none" w:sz="0" w:space="0" w:color="auto"/>
            <w:right w:val="none" w:sz="0" w:space="0" w:color="auto"/>
          </w:divBdr>
        </w:div>
        <w:div w:id="2130855025">
          <w:marLeft w:val="547"/>
          <w:marRight w:val="0"/>
          <w:marTop w:val="200"/>
          <w:marBottom w:val="0"/>
          <w:divBdr>
            <w:top w:val="none" w:sz="0" w:space="0" w:color="auto"/>
            <w:left w:val="none" w:sz="0" w:space="0" w:color="auto"/>
            <w:bottom w:val="none" w:sz="0" w:space="0" w:color="auto"/>
            <w:right w:val="none" w:sz="0" w:space="0" w:color="auto"/>
          </w:divBdr>
        </w:div>
      </w:divsChild>
    </w:div>
    <w:div w:id="923151555">
      <w:bodyDiv w:val="1"/>
      <w:marLeft w:val="0"/>
      <w:marRight w:val="0"/>
      <w:marTop w:val="0"/>
      <w:marBottom w:val="0"/>
      <w:divBdr>
        <w:top w:val="none" w:sz="0" w:space="0" w:color="auto"/>
        <w:left w:val="none" w:sz="0" w:space="0" w:color="auto"/>
        <w:bottom w:val="none" w:sz="0" w:space="0" w:color="auto"/>
        <w:right w:val="none" w:sz="0" w:space="0" w:color="auto"/>
      </w:divBdr>
    </w:div>
    <w:div w:id="1075512546">
      <w:bodyDiv w:val="1"/>
      <w:marLeft w:val="0"/>
      <w:marRight w:val="0"/>
      <w:marTop w:val="0"/>
      <w:marBottom w:val="0"/>
      <w:divBdr>
        <w:top w:val="none" w:sz="0" w:space="0" w:color="auto"/>
        <w:left w:val="none" w:sz="0" w:space="0" w:color="auto"/>
        <w:bottom w:val="none" w:sz="0" w:space="0" w:color="auto"/>
        <w:right w:val="none" w:sz="0" w:space="0" w:color="auto"/>
      </w:divBdr>
      <w:divsChild>
        <w:div w:id="465050072">
          <w:marLeft w:val="547"/>
          <w:marRight w:val="0"/>
          <w:marTop w:val="200"/>
          <w:marBottom w:val="0"/>
          <w:divBdr>
            <w:top w:val="none" w:sz="0" w:space="0" w:color="auto"/>
            <w:left w:val="none" w:sz="0" w:space="0" w:color="auto"/>
            <w:bottom w:val="none" w:sz="0" w:space="0" w:color="auto"/>
            <w:right w:val="none" w:sz="0" w:space="0" w:color="auto"/>
          </w:divBdr>
        </w:div>
        <w:div w:id="399326310">
          <w:marLeft w:val="547"/>
          <w:marRight w:val="0"/>
          <w:marTop w:val="200"/>
          <w:marBottom w:val="0"/>
          <w:divBdr>
            <w:top w:val="none" w:sz="0" w:space="0" w:color="auto"/>
            <w:left w:val="none" w:sz="0" w:space="0" w:color="auto"/>
            <w:bottom w:val="none" w:sz="0" w:space="0" w:color="auto"/>
            <w:right w:val="none" w:sz="0" w:space="0" w:color="auto"/>
          </w:divBdr>
        </w:div>
      </w:divsChild>
    </w:div>
    <w:div w:id="1197739055">
      <w:bodyDiv w:val="1"/>
      <w:marLeft w:val="0"/>
      <w:marRight w:val="0"/>
      <w:marTop w:val="0"/>
      <w:marBottom w:val="0"/>
      <w:divBdr>
        <w:top w:val="none" w:sz="0" w:space="0" w:color="auto"/>
        <w:left w:val="none" w:sz="0" w:space="0" w:color="auto"/>
        <w:bottom w:val="none" w:sz="0" w:space="0" w:color="auto"/>
        <w:right w:val="none" w:sz="0" w:space="0" w:color="auto"/>
      </w:divBdr>
    </w:div>
    <w:div w:id="1287345996">
      <w:bodyDiv w:val="1"/>
      <w:marLeft w:val="0"/>
      <w:marRight w:val="0"/>
      <w:marTop w:val="0"/>
      <w:marBottom w:val="0"/>
      <w:divBdr>
        <w:top w:val="none" w:sz="0" w:space="0" w:color="auto"/>
        <w:left w:val="none" w:sz="0" w:space="0" w:color="auto"/>
        <w:bottom w:val="none" w:sz="0" w:space="0" w:color="auto"/>
        <w:right w:val="none" w:sz="0" w:space="0" w:color="auto"/>
      </w:divBdr>
    </w:div>
    <w:div w:id="1535188778">
      <w:bodyDiv w:val="1"/>
      <w:marLeft w:val="0"/>
      <w:marRight w:val="0"/>
      <w:marTop w:val="0"/>
      <w:marBottom w:val="0"/>
      <w:divBdr>
        <w:top w:val="none" w:sz="0" w:space="0" w:color="auto"/>
        <w:left w:val="none" w:sz="0" w:space="0" w:color="auto"/>
        <w:bottom w:val="none" w:sz="0" w:space="0" w:color="auto"/>
        <w:right w:val="none" w:sz="0" w:space="0" w:color="auto"/>
      </w:divBdr>
    </w:div>
    <w:div w:id="1594969319">
      <w:bodyDiv w:val="1"/>
      <w:marLeft w:val="0"/>
      <w:marRight w:val="0"/>
      <w:marTop w:val="0"/>
      <w:marBottom w:val="0"/>
      <w:divBdr>
        <w:top w:val="none" w:sz="0" w:space="0" w:color="auto"/>
        <w:left w:val="none" w:sz="0" w:space="0" w:color="auto"/>
        <w:bottom w:val="none" w:sz="0" w:space="0" w:color="auto"/>
        <w:right w:val="none" w:sz="0" w:space="0" w:color="auto"/>
      </w:divBdr>
    </w:div>
    <w:div w:id="1598561004">
      <w:bodyDiv w:val="1"/>
      <w:marLeft w:val="0"/>
      <w:marRight w:val="0"/>
      <w:marTop w:val="0"/>
      <w:marBottom w:val="0"/>
      <w:divBdr>
        <w:top w:val="none" w:sz="0" w:space="0" w:color="auto"/>
        <w:left w:val="none" w:sz="0" w:space="0" w:color="auto"/>
        <w:bottom w:val="none" w:sz="0" w:space="0" w:color="auto"/>
        <w:right w:val="none" w:sz="0" w:space="0" w:color="auto"/>
      </w:divBdr>
    </w:div>
    <w:div w:id="1624117696">
      <w:bodyDiv w:val="1"/>
      <w:marLeft w:val="0"/>
      <w:marRight w:val="0"/>
      <w:marTop w:val="0"/>
      <w:marBottom w:val="0"/>
      <w:divBdr>
        <w:top w:val="none" w:sz="0" w:space="0" w:color="auto"/>
        <w:left w:val="none" w:sz="0" w:space="0" w:color="auto"/>
        <w:bottom w:val="none" w:sz="0" w:space="0" w:color="auto"/>
        <w:right w:val="none" w:sz="0" w:space="0" w:color="auto"/>
      </w:divBdr>
    </w:div>
    <w:div w:id="1741637551">
      <w:bodyDiv w:val="1"/>
      <w:marLeft w:val="0"/>
      <w:marRight w:val="0"/>
      <w:marTop w:val="0"/>
      <w:marBottom w:val="0"/>
      <w:divBdr>
        <w:top w:val="none" w:sz="0" w:space="0" w:color="auto"/>
        <w:left w:val="none" w:sz="0" w:space="0" w:color="auto"/>
        <w:bottom w:val="none" w:sz="0" w:space="0" w:color="auto"/>
        <w:right w:val="none" w:sz="0" w:space="0" w:color="auto"/>
      </w:divBdr>
    </w:div>
    <w:div w:id="1842112442">
      <w:bodyDiv w:val="1"/>
      <w:marLeft w:val="0"/>
      <w:marRight w:val="0"/>
      <w:marTop w:val="0"/>
      <w:marBottom w:val="0"/>
      <w:divBdr>
        <w:top w:val="none" w:sz="0" w:space="0" w:color="auto"/>
        <w:left w:val="none" w:sz="0" w:space="0" w:color="auto"/>
        <w:bottom w:val="none" w:sz="0" w:space="0" w:color="auto"/>
        <w:right w:val="none" w:sz="0" w:space="0" w:color="auto"/>
      </w:divBdr>
    </w:div>
    <w:div w:id="1848977490">
      <w:bodyDiv w:val="1"/>
      <w:marLeft w:val="0"/>
      <w:marRight w:val="0"/>
      <w:marTop w:val="0"/>
      <w:marBottom w:val="0"/>
      <w:divBdr>
        <w:top w:val="none" w:sz="0" w:space="0" w:color="auto"/>
        <w:left w:val="none" w:sz="0" w:space="0" w:color="auto"/>
        <w:bottom w:val="none" w:sz="0" w:space="0" w:color="auto"/>
        <w:right w:val="none" w:sz="0" w:space="0" w:color="auto"/>
      </w:divBdr>
    </w:div>
    <w:div w:id="1874029060">
      <w:bodyDiv w:val="1"/>
      <w:marLeft w:val="0"/>
      <w:marRight w:val="0"/>
      <w:marTop w:val="0"/>
      <w:marBottom w:val="0"/>
      <w:divBdr>
        <w:top w:val="none" w:sz="0" w:space="0" w:color="auto"/>
        <w:left w:val="none" w:sz="0" w:space="0" w:color="auto"/>
        <w:bottom w:val="none" w:sz="0" w:space="0" w:color="auto"/>
        <w:right w:val="none" w:sz="0" w:space="0" w:color="auto"/>
      </w:divBdr>
    </w:div>
    <w:div w:id="1960717479">
      <w:bodyDiv w:val="1"/>
      <w:marLeft w:val="0"/>
      <w:marRight w:val="0"/>
      <w:marTop w:val="0"/>
      <w:marBottom w:val="0"/>
      <w:divBdr>
        <w:top w:val="none" w:sz="0" w:space="0" w:color="auto"/>
        <w:left w:val="none" w:sz="0" w:space="0" w:color="auto"/>
        <w:bottom w:val="none" w:sz="0" w:space="0" w:color="auto"/>
        <w:right w:val="none" w:sz="0" w:space="0" w:color="auto"/>
      </w:divBdr>
    </w:div>
    <w:div w:id="1985113527">
      <w:bodyDiv w:val="1"/>
      <w:marLeft w:val="0"/>
      <w:marRight w:val="0"/>
      <w:marTop w:val="0"/>
      <w:marBottom w:val="0"/>
      <w:divBdr>
        <w:top w:val="none" w:sz="0" w:space="0" w:color="auto"/>
        <w:left w:val="none" w:sz="0" w:space="0" w:color="auto"/>
        <w:bottom w:val="none" w:sz="0" w:space="0" w:color="auto"/>
        <w:right w:val="none" w:sz="0" w:space="0" w:color="auto"/>
      </w:divBdr>
    </w:div>
    <w:div w:id="2116629703">
      <w:bodyDiv w:val="1"/>
      <w:marLeft w:val="0"/>
      <w:marRight w:val="0"/>
      <w:marTop w:val="0"/>
      <w:marBottom w:val="0"/>
      <w:divBdr>
        <w:top w:val="none" w:sz="0" w:space="0" w:color="auto"/>
        <w:left w:val="none" w:sz="0" w:space="0" w:color="auto"/>
        <w:bottom w:val="none" w:sz="0" w:space="0" w:color="auto"/>
        <w:right w:val="none" w:sz="0" w:space="0" w:color="auto"/>
      </w:divBdr>
    </w:div>
    <w:div w:id="213216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638</TotalTime>
  <Pages>5</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John - BLS</dc:creator>
  <cp:keywords/>
  <dc:description/>
  <cp:lastModifiedBy>Dixon, John - BLS</cp:lastModifiedBy>
  <cp:revision>3</cp:revision>
  <cp:lastPrinted>2019-01-23T22:07:00Z</cp:lastPrinted>
  <dcterms:created xsi:type="dcterms:W3CDTF">2020-08-10T10:37:00Z</dcterms:created>
  <dcterms:modified xsi:type="dcterms:W3CDTF">2020-08-10T21:16:00Z</dcterms:modified>
</cp:coreProperties>
</file>