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F98F4" w14:textId="3EB5D480" w:rsidR="00F75EB9" w:rsidRPr="00B657FB" w:rsidRDefault="00F75EB9" w:rsidP="00E71094">
      <w:pPr>
        <w:pStyle w:val="Heading1"/>
        <w:jc w:val="center"/>
        <w:rPr>
          <w:rFonts w:eastAsia="Times New Roman"/>
          <w:sz w:val="32"/>
          <w:szCs w:val="32"/>
          <w:lang w:eastAsia="en-GB"/>
        </w:rPr>
      </w:pPr>
      <w:r w:rsidRPr="00B657FB">
        <w:rPr>
          <w:rFonts w:eastAsia="Times New Roman"/>
          <w:sz w:val="32"/>
          <w:szCs w:val="32"/>
          <w:lang w:eastAsia="en-GB"/>
        </w:rPr>
        <w:t xml:space="preserve">Mapping the respondent journey and </w:t>
      </w:r>
      <w:r w:rsidR="00256F03">
        <w:rPr>
          <w:rFonts w:eastAsia="Times New Roman"/>
          <w:color w:val="auto"/>
          <w:sz w:val="32"/>
          <w:szCs w:val="32"/>
          <w:lang w:eastAsia="en-GB"/>
        </w:rPr>
        <w:t xml:space="preserve">the </w:t>
      </w:r>
      <w:r w:rsidR="009D5882">
        <w:rPr>
          <w:rFonts w:eastAsia="Times New Roman"/>
          <w:sz w:val="32"/>
          <w:szCs w:val="32"/>
          <w:lang w:eastAsia="en-GB"/>
        </w:rPr>
        <w:t xml:space="preserve">design </w:t>
      </w:r>
      <w:r w:rsidRPr="00B657FB">
        <w:rPr>
          <w:rFonts w:eastAsia="Times New Roman"/>
          <w:sz w:val="32"/>
          <w:szCs w:val="32"/>
          <w:lang w:eastAsia="en-GB"/>
        </w:rPr>
        <w:t xml:space="preserve">decisions </w:t>
      </w:r>
      <w:r w:rsidR="00B657FB">
        <w:rPr>
          <w:rFonts w:eastAsia="Times New Roman"/>
          <w:sz w:val="32"/>
          <w:szCs w:val="32"/>
          <w:lang w:eastAsia="en-GB"/>
        </w:rPr>
        <w:br/>
      </w:r>
      <w:r w:rsidRPr="00B657FB">
        <w:rPr>
          <w:rFonts w:eastAsia="Times New Roman"/>
          <w:sz w:val="32"/>
          <w:szCs w:val="32"/>
          <w:lang w:eastAsia="en-GB"/>
        </w:rPr>
        <w:t>impacting survey response.</w:t>
      </w:r>
    </w:p>
    <w:p w14:paraId="1E70BBB8" w14:textId="77777777" w:rsidR="00863DB4" w:rsidRDefault="00863DB4" w:rsidP="00863DB4">
      <w:pPr>
        <w:jc w:val="center"/>
        <w:rPr>
          <w:lang w:eastAsia="en-GB"/>
        </w:rPr>
      </w:pPr>
    </w:p>
    <w:p w14:paraId="7A39DF1D" w14:textId="5824C678" w:rsidR="00F75EB9" w:rsidRDefault="00F75EB9" w:rsidP="00863DB4">
      <w:pPr>
        <w:jc w:val="center"/>
        <w:rPr>
          <w:lang w:eastAsia="en-GB"/>
        </w:rPr>
      </w:pPr>
      <w:r>
        <w:rPr>
          <w:lang w:eastAsia="en-GB"/>
        </w:rPr>
        <w:t>Stephen Cohe</w:t>
      </w:r>
      <w:r w:rsidR="00863DB4">
        <w:rPr>
          <w:lang w:eastAsia="en-GB"/>
        </w:rPr>
        <w:t>n</w:t>
      </w:r>
      <w:r w:rsidR="00744125">
        <w:rPr>
          <w:rStyle w:val="FootnoteReference"/>
          <w:lang w:eastAsia="en-GB"/>
        </w:rPr>
        <w:footnoteReference w:id="1"/>
      </w:r>
    </w:p>
    <w:p w14:paraId="3EC9F384" w14:textId="3AEC11B5" w:rsidR="00F75EB9" w:rsidRPr="00E87C63" w:rsidRDefault="00F75EB9" w:rsidP="00863DB4">
      <w:pPr>
        <w:jc w:val="center"/>
        <w:rPr>
          <w:sz w:val="22"/>
          <w:szCs w:val="22"/>
          <w:lang w:eastAsia="en-GB"/>
        </w:rPr>
      </w:pPr>
      <w:r w:rsidRPr="00E87C63">
        <w:rPr>
          <w:sz w:val="22"/>
          <w:szCs w:val="22"/>
          <w:lang w:eastAsia="en-GB"/>
        </w:rPr>
        <w:t>Australian Bureau of Statistics</w:t>
      </w:r>
    </w:p>
    <w:p w14:paraId="1CA14F12" w14:textId="0C726A9E" w:rsidR="00863DB4" w:rsidRPr="00E87C63" w:rsidRDefault="000F000F" w:rsidP="00863DB4">
      <w:pPr>
        <w:jc w:val="center"/>
        <w:rPr>
          <w:sz w:val="22"/>
          <w:szCs w:val="22"/>
          <w:lang w:eastAsia="en-GB"/>
        </w:rPr>
      </w:pPr>
      <w:r w:rsidRPr="00E87C63">
        <w:rPr>
          <w:sz w:val="22"/>
          <w:szCs w:val="22"/>
          <w:lang w:eastAsia="en-GB"/>
        </w:rPr>
        <w:t>s</w:t>
      </w:r>
      <w:r w:rsidR="00863DB4" w:rsidRPr="00E87C63">
        <w:rPr>
          <w:sz w:val="22"/>
          <w:szCs w:val="22"/>
          <w:lang w:eastAsia="en-GB"/>
        </w:rPr>
        <w:t>tephen.cohen@abs.gov.au</w:t>
      </w:r>
    </w:p>
    <w:p w14:paraId="6F224E24" w14:textId="121CB3DE" w:rsidR="00863DB4" w:rsidRDefault="00863DB4" w:rsidP="00863DB4">
      <w:pPr>
        <w:jc w:val="center"/>
        <w:rPr>
          <w:lang w:eastAsia="en-GB"/>
        </w:rPr>
      </w:pPr>
    </w:p>
    <w:p w14:paraId="664891A9" w14:textId="1F72BF33" w:rsidR="00863DB4" w:rsidRPr="00DA5776" w:rsidRDefault="00863DB4" w:rsidP="00863DB4">
      <w:pPr>
        <w:jc w:val="center"/>
        <w:rPr>
          <w:i/>
          <w:iCs/>
          <w:sz w:val="21"/>
          <w:szCs w:val="21"/>
          <w:lang w:eastAsia="en-GB"/>
        </w:rPr>
      </w:pPr>
      <w:r w:rsidRPr="00DA5776">
        <w:rPr>
          <w:i/>
          <w:iCs/>
          <w:sz w:val="21"/>
          <w:szCs w:val="21"/>
          <w:lang w:eastAsia="en-GB"/>
        </w:rPr>
        <w:t xml:space="preserve">The views and opinions expressed in this paper are those of the author </w:t>
      </w:r>
      <w:r w:rsidR="00DA5776">
        <w:rPr>
          <w:i/>
          <w:iCs/>
          <w:sz w:val="21"/>
          <w:szCs w:val="21"/>
          <w:lang w:eastAsia="en-GB"/>
        </w:rPr>
        <w:br/>
      </w:r>
      <w:r w:rsidRPr="00DA5776">
        <w:rPr>
          <w:i/>
          <w:iCs/>
          <w:sz w:val="21"/>
          <w:szCs w:val="21"/>
          <w:lang w:eastAsia="en-GB"/>
        </w:rPr>
        <w:t xml:space="preserve">and do not necessarily reflect the official policy or position </w:t>
      </w:r>
      <w:r w:rsidR="00161DAA" w:rsidRPr="00DA5776">
        <w:rPr>
          <w:i/>
          <w:iCs/>
          <w:sz w:val="21"/>
          <w:szCs w:val="21"/>
          <w:lang w:eastAsia="en-GB"/>
        </w:rPr>
        <w:t>of</w:t>
      </w:r>
      <w:r w:rsidR="00C67F03" w:rsidRPr="00DA5776">
        <w:rPr>
          <w:i/>
          <w:iCs/>
          <w:sz w:val="21"/>
          <w:szCs w:val="21"/>
          <w:lang w:eastAsia="en-GB"/>
        </w:rPr>
        <w:t xml:space="preserve"> </w:t>
      </w:r>
      <w:r w:rsidRPr="00DA5776">
        <w:rPr>
          <w:i/>
          <w:iCs/>
          <w:sz w:val="21"/>
          <w:szCs w:val="21"/>
          <w:lang w:eastAsia="en-GB"/>
        </w:rPr>
        <w:t>the Australian Bureau of Statistics.</w:t>
      </w:r>
    </w:p>
    <w:p w14:paraId="4AF0EA95" w14:textId="77777777" w:rsidR="0020552E" w:rsidRDefault="0020552E" w:rsidP="008362AD">
      <w:pPr>
        <w:tabs>
          <w:tab w:val="left" w:pos="2977"/>
        </w:tabs>
        <w:spacing w:after="240"/>
        <w:rPr>
          <w:b/>
          <w:bCs/>
        </w:rPr>
      </w:pPr>
    </w:p>
    <w:p w14:paraId="77C56EE3" w14:textId="4204BDC4" w:rsidR="00F75EB9" w:rsidRPr="00E71094" w:rsidRDefault="0020552E" w:rsidP="00E71094">
      <w:pPr>
        <w:pStyle w:val="Heading1"/>
      </w:pPr>
      <w:r w:rsidRPr="00E71094">
        <w:t>Abstract</w:t>
      </w:r>
    </w:p>
    <w:p w14:paraId="6C709304" w14:textId="77777777" w:rsidR="00030FF3" w:rsidRDefault="0020552E" w:rsidP="00030FF3">
      <w:pPr>
        <w:rPr>
          <w:rFonts w:ascii="Calibri" w:eastAsia="Times New Roman" w:hAnsi="Calibri" w:cs="Calibri"/>
          <w:color w:val="000000"/>
          <w:sz w:val="20"/>
          <w:szCs w:val="20"/>
          <w:lang w:eastAsia="en-GB"/>
        </w:rPr>
      </w:pPr>
      <w:r w:rsidRPr="0020552E">
        <w:rPr>
          <w:rFonts w:ascii="Calibri" w:eastAsia="Times New Roman" w:hAnsi="Calibri" w:cs="Calibri"/>
          <w:color w:val="000000"/>
          <w:sz w:val="20"/>
          <w:szCs w:val="20"/>
          <w:lang w:eastAsia="en-GB"/>
        </w:rPr>
        <w:t xml:space="preserve">With a rich array of theory and methods to manage response, survey practitioners face the challenge of consolidating varied recommendations into holistic and optimised collection designs that account for various constraints, such as cost, time, technology and subject matter. This </w:t>
      </w:r>
      <w:r w:rsidR="00311999">
        <w:rPr>
          <w:rFonts w:ascii="Calibri" w:eastAsia="Times New Roman" w:hAnsi="Calibri" w:cs="Calibri"/>
          <w:color w:val="000000"/>
          <w:sz w:val="20"/>
          <w:szCs w:val="20"/>
          <w:lang w:eastAsia="en-GB"/>
        </w:rPr>
        <w:t>paper</w:t>
      </w:r>
      <w:r w:rsidRPr="0020552E">
        <w:rPr>
          <w:rFonts w:ascii="Calibri" w:eastAsia="Times New Roman" w:hAnsi="Calibri" w:cs="Calibri"/>
          <w:color w:val="000000"/>
          <w:sz w:val="20"/>
          <w:szCs w:val="20"/>
          <w:lang w:eastAsia="en-GB"/>
        </w:rPr>
        <w:t xml:space="preserve"> presents an exploratory framework </w:t>
      </w:r>
      <w:r w:rsidR="00D84071">
        <w:rPr>
          <w:rFonts w:ascii="Calibri" w:eastAsia="Times New Roman" w:hAnsi="Calibri" w:cs="Calibri"/>
          <w:color w:val="000000"/>
          <w:sz w:val="20"/>
          <w:szCs w:val="20"/>
          <w:lang w:eastAsia="en-GB"/>
        </w:rPr>
        <w:t xml:space="preserve">assisting </w:t>
      </w:r>
      <w:r w:rsidRPr="0020552E">
        <w:rPr>
          <w:rFonts w:ascii="Calibri" w:eastAsia="Times New Roman" w:hAnsi="Calibri" w:cs="Calibri"/>
          <w:color w:val="000000"/>
          <w:sz w:val="20"/>
          <w:szCs w:val="20"/>
          <w:lang w:eastAsia="en-GB"/>
        </w:rPr>
        <w:t xml:space="preserve">survey practitioners to explore the </w:t>
      </w:r>
      <w:proofErr w:type="spellStart"/>
      <w:r w:rsidRPr="0020552E">
        <w:rPr>
          <w:rFonts w:ascii="Calibri" w:eastAsia="Times New Roman" w:hAnsi="Calibri" w:cs="Calibri"/>
          <w:color w:val="000000"/>
          <w:sz w:val="20"/>
          <w:szCs w:val="20"/>
          <w:lang w:eastAsia="en-GB"/>
        </w:rPr>
        <w:t>tradeoffs</w:t>
      </w:r>
      <w:proofErr w:type="spellEnd"/>
      <w:r w:rsidRPr="0020552E">
        <w:rPr>
          <w:rFonts w:ascii="Calibri" w:eastAsia="Times New Roman" w:hAnsi="Calibri" w:cs="Calibri"/>
          <w:color w:val="000000"/>
          <w:sz w:val="20"/>
          <w:szCs w:val="20"/>
          <w:lang w:eastAsia="en-GB"/>
        </w:rPr>
        <w:t xml:space="preserve"> and impacts of design decisions. This articulates the survey process from a respondent’s perspective, identifying major touchpoints, channels, and pressure points. This external view is then mapped to the design options </w:t>
      </w:r>
      <w:r w:rsidR="00311999">
        <w:rPr>
          <w:rFonts w:ascii="Calibri" w:eastAsia="Times New Roman" w:hAnsi="Calibri" w:cs="Calibri"/>
          <w:color w:val="000000"/>
          <w:sz w:val="20"/>
          <w:szCs w:val="20"/>
          <w:lang w:eastAsia="en-GB"/>
        </w:rPr>
        <w:t xml:space="preserve">and decisions </w:t>
      </w:r>
      <w:r w:rsidRPr="0020552E">
        <w:rPr>
          <w:rFonts w:ascii="Calibri" w:eastAsia="Times New Roman" w:hAnsi="Calibri" w:cs="Calibri"/>
          <w:color w:val="000000"/>
          <w:sz w:val="20"/>
          <w:szCs w:val="20"/>
          <w:lang w:eastAsia="en-GB"/>
        </w:rPr>
        <w:t xml:space="preserve">available to practitioners and survey organisations. The mapping between internal and external viewpoints is then enriched by layering existing theory and knowledge from both the literature and ABS’ experimental and observational research. </w:t>
      </w:r>
      <w:proofErr w:type="gramStart"/>
      <w:r w:rsidRPr="0020552E">
        <w:rPr>
          <w:rFonts w:ascii="Calibri" w:eastAsia="Times New Roman" w:hAnsi="Calibri" w:cs="Calibri"/>
          <w:color w:val="000000"/>
          <w:sz w:val="20"/>
          <w:szCs w:val="20"/>
          <w:lang w:eastAsia="en-GB"/>
        </w:rPr>
        <w:t>This grounds</w:t>
      </w:r>
      <w:proofErr w:type="gramEnd"/>
      <w:r w:rsidRPr="0020552E">
        <w:rPr>
          <w:rFonts w:ascii="Calibri" w:eastAsia="Times New Roman" w:hAnsi="Calibri" w:cs="Calibri"/>
          <w:color w:val="000000"/>
          <w:sz w:val="20"/>
          <w:szCs w:val="20"/>
          <w:lang w:eastAsia="en-GB"/>
        </w:rPr>
        <w:t xml:space="preserve"> the map in evidence, providing concrete illustration of the available design scenarios. Applying this framework to ABS surveys decomposes the interdependencies in collection design and statistical production. In turn, this illustrates opportunities to gain response, and to manage </w:t>
      </w:r>
      <w:proofErr w:type="spellStart"/>
      <w:r w:rsidRPr="0020552E">
        <w:rPr>
          <w:rFonts w:ascii="Calibri" w:eastAsia="Times New Roman" w:hAnsi="Calibri" w:cs="Calibri"/>
          <w:color w:val="000000"/>
          <w:sz w:val="20"/>
          <w:szCs w:val="20"/>
          <w:lang w:eastAsia="en-GB"/>
        </w:rPr>
        <w:t>tradeoffs</w:t>
      </w:r>
      <w:proofErr w:type="spellEnd"/>
      <w:r w:rsidRPr="0020552E">
        <w:rPr>
          <w:rFonts w:ascii="Calibri" w:eastAsia="Times New Roman" w:hAnsi="Calibri" w:cs="Calibri"/>
          <w:color w:val="000000"/>
          <w:sz w:val="20"/>
          <w:szCs w:val="20"/>
          <w:lang w:eastAsia="en-GB"/>
        </w:rPr>
        <w:t xml:space="preserve"> within the collection and statistical production process. By contrasting multiple survey designs, the framework helps to summarise and identify common </w:t>
      </w:r>
      <w:proofErr w:type="spellStart"/>
      <w:r w:rsidRPr="0020552E">
        <w:rPr>
          <w:rFonts w:ascii="Calibri" w:eastAsia="Times New Roman" w:hAnsi="Calibri" w:cs="Calibri"/>
          <w:color w:val="000000"/>
          <w:sz w:val="20"/>
          <w:szCs w:val="20"/>
          <w:lang w:eastAsia="en-GB"/>
        </w:rPr>
        <w:t>painpoints</w:t>
      </w:r>
      <w:proofErr w:type="spellEnd"/>
      <w:r w:rsidRPr="0020552E">
        <w:rPr>
          <w:rFonts w:ascii="Calibri" w:eastAsia="Times New Roman" w:hAnsi="Calibri" w:cs="Calibri"/>
          <w:color w:val="000000"/>
          <w:sz w:val="20"/>
          <w:szCs w:val="20"/>
          <w:lang w:eastAsia="en-GB"/>
        </w:rPr>
        <w:t xml:space="preserve"> in gaining response, and illustrates the potential solutions available or that require further innovation. This increased understanding helps individuals to understand their domain in relation to others, and enables consolidation of learnings across organisational silos. Finally, this end-to-end view highlights the influence of structural, organisational factors, helping to inform strategic design decisions, and illustrates opportunities for impactful research and innovation in modern collection designs.</w:t>
      </w:r>
    </w:p>
    <w:p w14:paraId="622439DD" w14:textId="77777777" w:rsidR="00030FF3" w:rsidRDefault="00030FF3" w:rsidP="00030FF3">
      <w:pPr>
        <w:rPr>
          <w:rFonts w:ascii="Calibri" w:eastAsia="Times New Roman" w:hAnsi="Calibri" w:cs="Calibri"/>
          <w:color w:val="000000"/>
          <w:sz w:val="20"/>
          <w:szCs w:val="20"/>
          <w:lang w:eastAsia="en-GB"/>
        </w:rPr>
      </w:pPr>
    </w:p>
    <w:p w14:paraId="7B0B1251" w14:textId="77777777" w:rsidR="004C437A" w:rsidRDefault="004C437A" w:rsidP="00030FF3">
      <w:pPr>
        <w:rPr>
          <w:b/>
          <w:bCs/>
        </w:rPr>
      </w:pPr>
    </w:p>
    <w:p w14:paraId="414652EF" w14:textId="7789C302" w:rsidR="00081931" w:rsidRPr="00081931" w:rsidRDefault="00081931" w:rsidP="00030FF3">
      <w:pPr>
        <w:rPr>
          <w:b/>
          <w:bCs/>
        </w:rPr>
      </w:pPr>
      <w:r>
        <w:rPr>
          <w:b/>
          <w:bCs/>
        </w:rPr>
        <w:t>Introduction</w:t>
      </w:r>
    </w:p>
    <w:p w14:paraId="5AC29F02" w14:textId="6B3B3401" w:rsidR="009776E7" w:rsidRDefault="009776E7" w:rsidP="008819E9">
      <w:pPr>
        <w:tabs>
          <w:tab w:val="left" w:pos="2977"/>
        </w:tabs>
        <w:spacing w:after="240"/>
      </w:pPr>
      <w:r>
        <w:t>Survey collection design is comple</w:t>
      </w:r>
      <w:r w:rsidR="00A81277">
        <w:t>x,</w:t>
      </w:r>
      <w:r>
        <w:t xml:space="preserve"> requiring balancing multiple perspectives, priorities and requirements to secure response in a </w:t>
      </w:r>
      <w:proofErr w:type="gramStart"/>
      <w:r>
        <w:t>cost effective</w:t>
      </w:r>
      <w:proofErr w:type="gramEnd"/>
      <w:r>
        <w:t xml:space="preserve"> manner. </w:t>
      </w:r>
    </w:p>
    <w:p w14:paraId="06C34B10" w14:textId="56F561CB" w:rsidR="00FF6F57" w:rsidRDefault="009776E7" w:rsidP="00BD332B">
      <w:pPr>
        <w:spacing w:after="240"/>
      </w:pPr>
      <w:r>
        <w:t xml:space="preserve">These include </w:t>
      </w:r>
      <w:r w:rsidR="00126C46">
        <w:t>recommendations</w:t>
      </w:r>
      <w:r w:rsidR="00A8660E">
        <w:t xml:space="preserve"> for specific </w:t>
      </w:r>
      <w:r>
        <w:t>survey features (e.g. mode and mode sequence, incentives, and burden and form design</w:t>
      </w:r>
      <w:r w:rsidR="00B70776">
        <w:t xml:space="preserve">; </w:t>
      </w:r>
      <w:proofErr w:type="spellStart"/>
      <w:r>
        <w:t>Dillman</w:t>
      </w:r>
      <w:proofErr w:type="spellEnd"/>
      <w:r>
        <w:t xml:space="preserve"> 2014; Yan, Fricker &amp; </w:t>
      </w:r>
      <w:proofErr w:type="spellStart"/>
      <w:r>
        <w:t>Tsia</w:t>
      </w:r>
      <w:proofErr w:type="spellEnd"/>
      <w:r>
        <w:t>, 2020)</w:t>
      </w:r>
      <w:r w:rsidR="00A8660E">
        <w:t>, specific techniques to increase response (such as respondent motivation, the language and structure of a request</w:t>
      </w:r>
      <w:r w:rsidR="00B70776">
        <w:t>;</w:t>
      </w:r>
      <w:r w:rsidR="00A8660E">
        <w:t xml:space="preserve"> </w:t>
      </w:r>
      <w:r w:rsidR="00A8660E" w:rsidRPr="00AB2C82">
        <w:t xml:space="preserve">Fishbein &amp; </w:t>
      </w:r>
      <w:proofErr w:type="spellStart"/>
      <w:r w:rsidR="00A8660E" w:rsidRPr="00AB2C82">
        <w:t>Azjen</w:t>
      </w:r>
      <w:proofErr w:type="spellEnd"/>
      <w:r w:rsidR="00A8660E" w:rsidRPr="00AB2C82">
        <w:t>, 2010</w:t>
      </w:r>
      <w:r w:rsidR="00B70776">
        <w:t>;</w:t>
      </w:r>
      <w:r w:rsidR="00A8660E">
        <w:t xml:space="preserve"> </w:t>
      </w:r>
      <w:r w:rsidR="00A8660E" w:rsidRPr="001C31B7">
        <w:t>Groves, Cialdini &amp; Couper, 1992</w:t>
      </w:r>
      <w:r w:rsidR="00A8660E">
        <w:t xml:space="preserve">), which must be considered alongside </w:t>
      </w:r>
      <w:r>
        <w:t>practical, organisational, policy and legal requirements</w:t>
      </w:r>
      <w:r w:rsidR="00A8660E">
        <w:t xml:space="preserve"> of the survey organisation, while also considering </w:t>
      </w:r>
      <w:r>
        <w:t xml:space="preserve"> novel and emerging situations </w:t>
      </w:r>
      <w:r w:rsidR="00A8660E">
        <w:t xml:space="preserve">– such as natural disasters, or the current COVID-19 pandemic </w:t>
      </w:r>
      <w:r>
        <w:t>(e.g.</w:t>
      </w:r>
      <w:r w:rsidRPr="007C5297">
        <w:t xml:space="preserve"> </w:t>
      </w:r>
      <w:proofErr w:type="spellStart"/>
      <w:r>
        <w:t>Redelmeier</w:t>
      </w:r>
      <w:proofErr w:type="spellEnd"/>
      <w:r>
        <w:t xml:space="preserve"> &amp; </w:t>
      </w:r>
      <w:proofErr w:type="spellStart"/>
      <w:r>
        <w:t>Shafir</w:t>
      </w:r>
      <w:proofErr w:type="spellEnd"/>
      <w:r>
        <w:t>, 2020).</w:t>
      </w:r>
      <w:r w:rsidRPr="009776E7">
        <w:t xml:space="preserve"> </w:t>
      </w:r>
      <w:r w:rsidR="00DB5B4F">
        <w:t>This introduces</w:t>
      </w:r>
      <w:r w:rsidR="00EE39C6">
        <w:t xml:space="preserve"> </w:t>
      </w:r>
      <w:r w:rsidR="00452081">
        <w:t xml:space="preserve">a multiplicity </w:t>
      </w:r>
      <w:r w:rsidR="002100C6">
        <w:t xml:space="preserve">of </w:t>
      </w:r>
      <w:r w:rsidR="00452081">
        <w:t>perspectives</w:t>
      </w:r>
      <w:r w:rsidR="002100C6">
        <w:t>,</w:t>
      </w:r>
      <w:r w:rsidR="00452081">
        <w:t xml:space="preserve"> priorities, </w:t>
      </w:r>
      <w:r w:rsidR="00FF6F57">
        <w:t xml:space="preserve">and requirements </w:t>
      </w:r>
      <w:r>
        <w:t>that, a</w:t>
      </w:r>
      <w:r w:rsidR="00AF1B1D">
        <w:t>t best</w:t>
      </w:r>
      <w:r>
        <w:t>,</w:t>
      </w:r>
      <w:r w:rsidR="00AF1B1D">
        <w:t xml:space="preserve"> </w:t>
      </w:r>
      <w:r w:rsidR="002100C6">
        <w:t>complicate</w:t>
      </w:r>
      <w:r w:rsidR="00893596">
        <w:t>s</w:t>
      </w:r>
      <w:r w:rsidR="002100C6">
        <w:t xml:space="preserve"> the design process</w:t>
      </w:r>
      <w:r w:rsidR="00AF1B1D">
        <w:t xml:space="preserve">; </w:t>
      </w:r>
      <w:r w:rsidR="00332A7F">
        <w:t xml:space="preserve">and </w:t>
      </w:r>
      <w:r w:rsidR="00AF1B1D">
        <w:t xml:space="preserve">in more extreme cases can </w:t>
      </w:r>
      <w:r w:rsidR="00AE0EE0">
        <w:t xml:space="preserve">lead to </w:t>
      </w:r>
      <w:r w:rsidR="00CF3E48">
        <w:t xml:space="preserve">incompatible or </w:t>
      </w:r>
      <w:r w:rsidR="00AE0EE0">
        <w:t>contradictory recommendation</w:t>
      </w:r>
      <w:r w:rsidR="00CF3E48">
        <w:t>s that need to be resolved</w:t>
      </w:r>
      <w:r w:rsidR="00EB678B">
        <w:t>.</w:t>
      </w:r>
    </w:p>
    <w:p w14:paraId="7BAAB49D" w14:textId="1EB59027" w:rsidR="00BA2137" w:rsidRDefault="00B577A5" w:rsidP="00E16CCD">
      <w:pPr>
        <w:spacing w:after="240"/>
      </w:pPr>
      <w:r>
        <w:t>To navigate this diverse set of inputs and recommendations, s</w:t>
      </w:r>
      <w:r w:rsidR="006E60AA">
        <w:t xml:space="preserve">urvey practitioners </w:t>
      </w:r>
      <w:r w:rsidR="00EE1D3E">
        <w:t xml:space="preserve">are called on to </w:t>
      </w:r>
      <w:r w:rsidR="006E60AA">
        <w:t xml:space="preserve">use holistic approaches to design </w:t>
      </w:r>
      <w:r w:rsidR="007B7FBB">
        <w:t xml:space="preserve">(e.g. </w:t>
      </w:r>
      <w:proofErr w:type="spellStart"/>
      <w:r w:rsidR="007B7FBB">
        <w:t>Dillman</w:t>
      </w:r>
      <w:proofErr w:type="spellEnd"/>
      <w:r w:rsidR="007B7FBB">
        <w:t xml:space="preserve">, Smyth &amp; Christian 2014; </w:t>
      </w:r>
      <w:proofErr w:type="spellStart"/>
      <w:r w:rsidR="007B7FBB">
        <w:t>Snijker</w:t>
      </w:r>
      <w:r w:rsidR="00BC2C6F">
        <w:t>s</w:t>
      </w:r>
      <w:proofErr w:type="spellEnd"/>
      <w:r w:rsidR="00BC2C6F">
        <w:t>,</w:t>
      </w:r>
      <w:r w:rsidR="007B7FBB">
        <w:t xml:space="preserve"> </w:t>
      </w:r>
      <w:r w:rsidR="007B7FBB">
        <w:lastRenderedPageBreak/>
        <w:t>201</w:t>
      </w:r>
      <w:r w:rsidR="00BC2C6F">
        <w:t>8</w:t>
      </w:r>
      <w:r w:rsidR="00F11289">
        <w:t>) with the intent of improving th</w:t>
      </w:r>
      <w:r>
        <w:t xml:space="preserve">eir </w:t>
      </w:r>
      <w:r w:rsidR="00F11289">
        <w:t>surveys</w:t>
      </w:r>
      <w:r w:rsidR="00EE1D3E">
        <w:t xml:space="preserve"> </w:t>
      </w:r>
      <w:r>
        <w:t xml:space="preserve">collections, </w:t>
      </w:r>
      <w:r w:rsidR="00EE1D3E">
        <w:t xml:space="preserve">and </w:t>
      </w:r>
      <w:proofErr w:type="spellStart"/>
      <w:r w:rsidR="00EE1D3E">
        <w:t>minimis</w:t>
      </w:r>
      <w:r>
        <w:t>ising</w:t>
      </w:r>
      <w:proofErr w:type="spellEnd"/>
      <w:r w:rsidR="00EE1D3E">
        <w:t xml:space="preserve"> </w:t>
      </w:r>
      <w:r>
        <w:t xml:space="preserve">the </w:t>
      </w:r>
      <w:r w:rsidR="00EE1D3E">
        <w:t xml:space="preserve">disjunctions </w:t>
      </w:r>
      <w:r>
        <w:t xml:space="preserve">sometimes </w:t>
      </w:r>
      <w:r w:rsidR="00C6602E">
        <w:t>seen</w:t>
      </w:r>
      <w:r>
        <w:t xml:space="preserve"> </w:t>
      </w:r>
      <w:r w:rsidR="00EE1D3E">
        <w:t xml:space="preserve">between theory and </w:t>
      </w:r>
      <w:r w:rsidR="000226C1">
        <w:t>practice</w:t>
      </w:r>
      <w:r w:rsidR="00C6602E">
        <w:t xml:space="preserve"> </w:t>
      </w:r>
      <w:r w:rsidR="00EE1D3E">
        <w:t>(</w:t>
      </w:r>
      <w:proofErr w:type="spellStart"/>
      <w:r w:rsidR="00EE1D3E">
        <w:t>Peytchev</w:t>
      </w:r>
      <w:proofErr w:type="spellEnd"/>
      <w:r w:rsidR="00EE1D3E">
        <w:t>, 20</w:t>
      </w:r>
      <w:r w:rsidR="00B70776">
        <w:t>09</w:t>
      </w:r>
      <w:r w:rsidR="00EE1D3E">
        <w:t>).</w:t>
      </w:r>
    </w:p>
    <w:p w14:paraId="6F49F00F" w14:textId="75743832" w:rsidR="00BA2137" w:rsidRDefault="00ED1020" w:rsidP="00AA2935">
      <w:pPr>
        <w:spacing w:after="240"/>
      </w:pPr>
      <w:r>
        <w:t>T</w:t>
      </w:r>
      <w:r w:rsidR="007E434B">
        <w:t xml:space="preserve">he need for holistic design </w:t>
      </w:r>
      <w:r w:rsidR="00BA2137">
        <w:t>is no</w:t>
      </w:r>
      <w:r w:rsidR="00254DA0">
        <w:t xml:space="preserve">t </w:t>
      </w:r>
      <w:r w:rsidR="00BA2137">
        <w:t xml:space="preserve">unique to survey practice. Rather, </w:t>
      </w:r>
      <w:r w:rsidR="00167494">
        <w:t>t</w:t>
      </w:r>
      <w:r w:rsidR="005E33D6">
        <w:t xml:space="preserve">he </w:t>
      </w:r>
      <w:r w:rsidR="00167494">
        <w:t xml:space="preserve">broader </w:t>
      </w:r>
      <w:r w:rsidR="00AE0EE0">
        <w:t xml:space="preserve">user experience and service </w:t>
      </w:r>
      <w:r w:rsidR="005E33D6">
        <w:t xml:space="preserve">design literature has a range of </w:t>
      </w:r>
      <w:r w:rsidR="00AE0EE0">
        <w:t xml:space="preserve">tools that aim to </w:t>
      </w:r>
      <w:r w:rsidR="00145485">
        <w:t>break down such complexity</w:t>
      </w:r>
      <w:r w:rsidR="00BA2137">
        <w:t xml:space="preserve"> </w:t>
      </w:r>
      <w:r w:rsidR="005E33D6">
        <w:t>(</w:t>
      </w:r>
      <w:proofErr w:type="spellStart"/>
      <w:r w:rsidR="005E33D6">
        <w:t>Dubberly</w:t>
      </w:r>
      <w:proofErr w:type="spellEnd"/>
      <w:r w:rsidR="005E33D6">
        <w:t xml:space="preserve">, </w:t>
      </w:r>
      <w:r w:rsidR="00695A24">
        <w:t>2008</w:t>
      </w:r>
      <w:r w:rsidR="005E33D6">
        <w:t>)</w:t>
      </w:r>
      <w:r w:rsidR="00BA2137">
        <w:t xml:space="preserve">, and is widely used across private, </w:t>
      </w:r>
      <w:r w:rsidR="009E669D">
        <w:t>public</w:t>
      </w:r>
      <w:r w:rsidR="00BA2137">
        <w:t xml:space="preserve"> and not-for-profit sectors to enhance service offerings and practices</w:t>
      </w:r>
      <w:r w:rsidR="009418B3">
        <w:t xml:space="preserve">. </w:t>
      </w:r>
      <w:r w:rsidR="005E33D6">
        <w:t xml:space="preserve">One </w:t>
      </w:r>
      <w:r w:rsidR="009E669D">
        <w:t xml:space="preserve">common </w:t>
      </w:r>
      <w:r w:rsidR="009E67AF">
        <w:t xml:space="preserve">tool </w:t>
      </w:r>
      <w:r w:rsidR="009E669D">
        <w:t xml:space="preserve">is the </w:t>
      </w:r>
      <w:r w:rsidR="005E33D6" w:rsidRPr="00B273D9">
        <w:rPr>
          <w:i/>
          <w:iCs/>
        </w:rPr>
        <w:t>alignment map</w:t>
      </w:r>
      <w:r w:rsidR="005E33D6">
        <w:t xml:space="preserve"> – </w:t>
      </w:r>
      <w:r w:rsidR="009E669D">
        <w:t xml:space="preserve">a family of diagrams </w:t>
      </w:r>
      <w:r w:rsidR="0020292E">
        <w:t xml:space="preserve">including customer </w:t>
      </w:r>
      <w:r w:rsidR="005E33D6">
        <w:t xml:space="preserve">journey maps, </w:t>
      </w:r>
      <w:r w:rsidR="0020292E">
        <w:t xml:space="preserve">experience maps, and </w:t>
      </w:r>
      <w:r w:rsidR="005E33D6">
        <w:t>service blueprints</w:t>
      </w:r>
      <w:r w:rsidR="0020292E">
        <w:t xml:space="preserve"> </w:t>
      </w:r>
      <w:r w:rsidR="005E33D6">
        <w:t>(</w:t>
      </w:r>
      <w:proofErr w:type="spellStart"/>
      <w:r w:rsidR="005E33D6">
        <w:t>Kalbach</w:t>
      </w:r>
      <w:proofErr w:type="spellEnd"/>
      <w:r w:rsidR="00F218BA">
        <w:t>,</w:t>
      </w:r>
      <w:r w:rsidR="003358A2">
        <w:t xml:space="preserve"> 2016</w:t>
      </w:r>
      <w:r w:rsidR="007311DA">
        <w:t>)</w:t>
      </w:r>
      <w:r w:rsidR="009E669D">
        <w:t xml:space="preserve">. These </w:t>
      </w:r>
      <w:r w:rsidR="00D3605C">
        <w:t xml:space="preserve">explicitly aim to </w:t>
      </w:r>
      <w:r w:rsidR="005E33D6">
        <w:t xml:space="preserve">depict </w:t>
      </w:r>
      <w:r w:rsidR="009E669D">
        <w:t xml:space="preserve">a given </w:t>
      </w:r>
      <w:r w:rsidR="005E33D6">
        <w:t>service from the user’s perspective</w:t>
      </w:r>
      <w:r w:rsidR="009E669D">
        <w:t>,</w:t>
      </w:r>
      <w:r w:rsidR="00BA2137">
        <w:t xml:space="preserve"> </w:t>
      </w:r>
      <w:r w:rsidR="009E669D">
        <w:t xml:space="preserve">showing </w:t>
      </w:r>
      <w:r w:rsidR="005E33D6">
        <w:t xml:space="preserve">user goals, experiences, process and </w:t>
      </w:r>
      <w:proofErr w:type="spellStart"/>
      <w:r w:rsidR="005E33D6">
        <w:t>painpoints</w:t>
      </w:r>
      <w:proofErr w:type="spellEnd"/>
      <w:r w:rsidR="00D3605C">
        <w:t>; as well as the</w:t>
      </w:r>
      <w:r w:rsidR="00EE5259">
        <w:t xml:space="preserve"> context culture and events</w:t>
      </w:r>
      <w:r w:rsidR="00D3605C">
        <w:t xml:space="preserve"> occurring within and around the service</w:t>
      </w:r>
      <w:r w:rsidR="0020292E">
        <w:t xml:space="preserve">. </w:t>
      </w:r>
      <w:r w:rsidR="009E669D">
        <w:t xml:space="preserve">By </w:t>
      </w:r>
      <w:r w:rsidR="00BA2137">
        <w:t>making these facets explicit</w:t>
      </w:r>
      <w:r w:rsidR="009E669D">
        <w:t>,</w:t>
      </w:r>
      <w:r w:rsidR="00BA2137">
        <w:t xml:space="preserve"> </w:t>
      </w:r>
      <w:r w:rsidR="0020292E">
        <w:t xml:space="preserve">these diagrams </w:t>
      </w:r>
      <w:r w:rsidR="009E669D">
        <w:t>enable design and redesign of the services they depict, and enable readers to “see” their part in a</w:t>
      </w:r>
      <w:r w:rsidR="00BC6D33">
        <w:t xml:space="preserve"> larger</w:t>
      </w:r>
      <w:r w:rsidR="009E669D">
        <w:t xml:space="preserve"> process </w:t>
      </w:r>
      <w:r w:rsidR="00BC6D33">
        <w:t>that they may never otherwise observe directly</w:t>
      </w:r>
      <w:r w:rsidR="009E669D">
        <w:t xml:space="preserve">. These tools therefore provide a mechanism to bridge </w:t>
      </w:r>
      <w:r w:rsidR="00BD64BD">
        <w:t xml:space="preserve">organisational </w:t>
      </w:r>
      <w:r w:rsidR="0020292E">
        <w:t xml:space="preserve">and disciplinary </w:t>
      </w:r>
      <w:r w:rsidR="00BD64BD">
        <w:t>boundarie</w:t>
      </w:r>
      <w:r w:rsidR="00E60006">
        <w:t>s</w:t>
      </w:r>
      <w:r w:rsidR="009E669D">
        <w:t>,</w:t>
      </w:r>
      <w:r w:rsidR="00BA2137">
        <w:t xml:space="preserve"> </w:t>
      </w:r>
      <w:r w:rsidR="009E669D">
        <w:t xml:space="preserve">represent the needs of otherwise out-of-sight individuals (the end-users of a service), and </w:t>
      </w:r>
      <w:r w:rsidR="00BA2137">
        <w:t>provid</w:t>
      </w:r>
      <w:r w:rsidR="009E669D">
        <w:t>e</w:t>
      </w:r>
      <w:r w:rsidR="00BA2137">
        <w:t xml:space="preserve"> common reference materials</w:t>
      </w:r>
      <w:r w:rsidR="009E669D">
        <w:t xml:space="preserve"> to drive </w:t>
      </w:r>
      <w:r w:rsidR="00BA2137">
        <w:t xml:space="preserve">further improvements of their </w:t>
      </w:r>
      <w:r w:rsidR="00063F10">
        <w:t xml:space="preserve">respective </w:t>
      </w:r>
      <w:r w:rsidR="00BA2137">
        <w:t>business</w:t>
      </w:r>
      <w:r w:rsidR="00063F10">
        <w:t>es</w:t>
      </w:r>
      <w:r w:rsidR="00BA2137">
        <w:t xml:space="preserve"> (</w:t>
      </w:r>
      <w:proofErr w:type="spellStart"/>
      <w:r w:rsidR="00BA2137">
        <w:t>Kalbach</w:t>
      </w:r>
      <w:proofErr w:type="spellEnd"/>
      <w:r w:rsidR="008362AD">
        <w:t>, 2016</w:t>
      </w:r>
      <w:r w:rsidR="00D802EA">
        <w:t>; Patton</w:t>
      </w:r>
      <w:r w:rsidR="00C3397B">
        <w:t>,</w:t>
      </w:r>
      <w:r w:rsidR="00D802EA">
        <w:t xml:space="preserve"> 2014</w:t>
      </w:r>
      <w:r w:rsidR="00BA2137">
        <w:t>)</w:t>
      </w:r>
      <w:r w:rsidR="001E0C44">
        <w:t>.</w:t>
      </w:r>
    </w:p>
    <w:p w14:paraId="0015837C" w14:textId="171FF885" w:rsidR="00D667A8" w:rsidRDefault="00D667A8" w:rsidP="008E580F">
      <w:r>
        <w:t xml:space="preserve">Could </w:t>
      </w:r>
      <w:r w:rsidR="009E669D">
        <w:t xml:space="preserve">these tools </w:t>
      </w:r>
      <w:r>
        <w:t xml:space="preserve">help survey practitioners design </w:t>
      </w:r>
      <w:r w:rsidR="009E669D">
        <w:t xml:space="preserve">their </w:t>
      </w:r>
      <w:r>
        <w:t xml:space="preserve">surveys holistically, </w:t>
      </w:r>
      <w:r w:rsidR="009E669D">
        <w:t xml:space="preserve">by </w:t>
      </w:r>
      <w:r>
        <w:t>explor</w:t>
      </w:r>
      <w:r w:rsidR="009E669D">
        <w:t>ing</w:t>
      </w:r>
      <w:r>
        <w:t xml:space="preserve"> the impacts on the “journey” of responding to a survey</w:t>
      </w:r>
      <w:r w:rsidR="009E669D">
        <w:t xml:space="preserve">? Could this help to show the impacts of different decisions on </w:t>
      </w:r>
      <w:r>
        <w:t>response rates and costs?</w:t>
      </w:r>
      <w:r w:rsidR="00F218BA">
        <w:t xml:space="preserve"> </w:t>
      </w:r>
      <w:r w:rsidR="00BC6D33">
        <w:t>And w</w:t>
      </w:r>
      <w:r w:rsidR="00812BCC">
        <w:t xml:space="preserve">hile such diagrams are useful in other sectors, do they </w:t>
      </w:r>
      <w:r w:rsidR="00F218BA">
        <w:t xml:space="preserve">help to inform and identify strategic decisions about </w:t>
      </w:r>
      <w:r w:rsidR="00F218BA" w:rsidRPr="00812BCC">
        <w:rPr>
          <w:i/>
          <w:iCs/>
        </w:rPr>
        <w:t>survey</w:t>
      </w:r>
      <w:r w:rsidR="00F218BA">
        <w:t xml:space="preserve"> infrastructure and overall </w:t>
      </w:r>
      <w:r w:rsidR="00F218BA" w:rsidRPr="00812BCC">
        <w:rPr>
          <w:i/>
          <w:iCs/>
        </w:rPr>
        <w:t>statistical</w:t>
      </w:r>
      <w:r w:rsidR="00F218BA">
        <w:t xml:space="preserve"> program design</w:t>
      </w:r>
      <w:r w:rsidR="00812BCC">
        <w:t>, like they do for other sectors?</w:t>
      </w:r>
    </w:p>
    <w:p w14:paraId="31AE1FFA" w14:textId="77777777" w:rsidR="00D667A8" w:rsidRDefault="00D667A8" w:rsidP="008E580F"/>
    <w:p w14:paraId="512A7D85" w14:textId="4E512186" w:rsidR="00B80093" w:rsidRDefault="004D2875" w:rsidP="00B80093">
      <w:r>
        <w:t>This paper presents an initial framework based on internal workshops and creation of such alignment maps in a survey</w:t>
      </w:r>
      <w:r w:rsidR="009556CF">
        <w:t xml:space="preserve"> design</w:t>
      </w:r>
      <w:r>
        <w:t xml:space="preserve"> context. </w:t>
      </w:r>
      <w:r w:rsidR="00460218">
        <w:t xml:space="preserve">Across a range of </w:t>
      </w:r>
      <w:r w:rsidR="00D26CED">
        <w:t>ABS surveys</w:t>
      </w:r>
      <w:r w:rsidR="00460218">
        <w:t>, variations of these diagrams have helped to communicate across silos</w:t>
      </w:r>
      <w:r w:rsidR="00A63542">
        <w:t xml:space="preserve">; </w:t>
      </w:r>
      <w:r w:rsidR="00460218">
        <w:t>with personnel of varying backgrounds</w:t>
      </w:r>
      <w:r w:rsidR="00A63542">
        <w:t xml:space="preserve">; </w:t>
      </w:r>
      <w:r w:rsidR="00460218">
        <w:t xml:space="preserve">in projects of aiming to impact, statistical, technological and fieldwork procedures – </w:t>
      </w:r>
      <w:r w:rsidR="003565D6">
        <w:t xml:space="preserve">although </w:t>
      </w:r>
      <w:r w:rsidR="00460218">
        <w:t xml:space="preserve">all with a view to improving the efficiency </w:t>
      </w:r>
      <w:r w:rsidR="00D26CED">
        <w:t xml:space="preserve">and effectiveness </w:t>
      </w:r>
      <w:r w:rsidR="00460218">
        <w:t xml:space="preserve">of gaining and securing responses from </w:t>
      </w:r>
      <w:r w:rsidR="00D26CED">
        <w:t>respondents</w:t>
      </w:r>
      <w:r w:rsidR="001B000A">
        <w:t xml:space="preserve"> in business and household surveys. </w:t>
      </w:r>
      <w:r w:rsidR="0038706F">
        <w:t xml:space="preserve"> </w:t>
      </w:r>
    </w:p>
    <w:p w14:paraId="3E3A82A9" w14:textId="44AE1BC8" w:rsidR="00A93BCC" w:rsidRDefault="001B2461" w:rsidP="00E71094">
      <w:pPr>
        <w:pStyle w:val="Heading1"/>
      </w:pPr>
      <w:r>
        <w:t>The framework</w:t>
      </w:r>
      <w:r w:rsidR="00F57301" w:rsidRPr="00F57301">
        <w:t xml:space="preserve"> </w:t>
      </w:r>
    </w:p>
    <w:p w14:paraId="19DFF803" w14:textId="0D968360" w:rsidR="00FA7AB7" w:rsidRDefault="00A93BCC" w:rsidP="00FC0F49">
      <w:r>
        <w:t>This divides a survey into key stages, showing the design decisions and considerations, touchpoints</w:t>
      </w:r>
      <w:r w:rsidR="00FA7AB7">
        <w:t xml:space="preserve"> over multiple channels</w:t>
      </w:r>
      <w:r>
        <w:t xml:space="preserve">, </w:t>
      </w:r>
      <w:r w:rsidR="00FA7AB7">
        <w:t xml:space="preserve">respondents’ </w:t>
      </w:r>
      <w:proofErr w:type="spellStart"/>
      <w:r>
        <w:t>painpoints</w:t>
      </w:r>
      <w:proofErr w:type="spellEnd"/>
      <w:r>
        <w:t xml:space="preserve"> and </w:t>
      </w:r>
      <w:r w:rsidR="00FA7AB7">
        <w:t xml:space="preserve">organisational </w:t>
      </w:r>
      <w:r w:rsidR="008C5DB0">
        <w:t>opportunities</w:t>
      </w:r>
      <w:r>
        <w:t>.</w:t>
      </w:r>
      <w:r w:rsidR="008C5DB0" w:rsidRPr="008C5DB0">
        <w:t xml:space="preserve"> </w:t>
      </w:r>
      <w:r w:rsidR="00535FD1">
        <w:t>Attachment 1 shows a representation of the ABS Labour Force Survey using this framework</w:t>
      </w:r>
      <w:r w:rsidR="004107BF">
        <w:t>.</w:t>
      </w:r>
    </w:p>
    <w:p w14:paraId="106B45DF" w14:textId="7E64266B" w:rsidR="00201CCC" w:rsidRDefault="00201CCC" w:rsidP="00FC0F49"/>
    <w:p w14:paraId="5F4FA56B" w14:textId="4AE62927" w:rsidR="00451182" w:rsidRDefault="001078D8" w:rsidP="00DB30C3">
      <w:pPr>
        <w:ind w:left="426"/>
      </w:pPr>
      <w:r>
        <w:rPr>
          <w:b/>
          <w:bCs/>
        </w:rPr>
        <w:t xml:space="preserve">1. </w:t>
      </w:r>
      <w:r w:rsidR="008B4967" w:rsidRPr="008B4967">
        <w:rPr>
          <w:b/>
          <w:bCs/>
        </w:rPr>
        <w:t>Touchpoints</w:t>
      </w:r>
      <w:r w:rsidR="006C4E1A">
        <w:rPr>
          <w:b/>
          <w:bCs/>
        </w:rPr>
        <w:t>:</w:t>
      </w:r>
      <w:r>
        <w:rPr>
          <w:b/>
          <w:bCs/>
        </w:rPr>
        <w:t xml:space="preserve"> </w:t>
      </w:r>
      <w:r w:rsidR="00451182">
        <w:t xml:space="preserve">The most prominent, and important, information is located centrally on the diagram. This shows a flowchart-like depiction of the individual touchpoints and interactions between the survey organisation and respondent. This reveals the specific steps a respondent may take, the relationship between them, and key actions of the survey organisation to enable response at each step. Theoretically, these </w:t>
      </w:r>
      <w:r w:rsidR="00F64B74">
        <w:t xml:space="preserve">touchpoints are the interactions and features that </w:t>
      </w:r>
      <w:r w:rsidR="00451182">
        <w:t xml:space="preserve">do, or do not, encourage </w:t>
      </w:r>
      <w:r w:rsidR="00451182" w:rsidRPr="000B4BCE">
        <w:t>response (</w:t>
      </w:r>
      <w:r w:rsidR="00EB5BCD" w:rsidRPr="000B4BCE">
        <w:t>e.g. Leverage salience theory</w:t>
      </w:r>
      <w:r w:rsidR="00C82EEA">
        <w:t>;</w:t>
      </w:r>
      <w:r w:rsidR="00EB5BCD" w:rsidRPr="000B4BCE">
        <w:t xml:space="preserve"> Groves, Singer &amp; Corning, 2000;</w:t>
      </w:r>
      <w:r w:rsidR="00451182" w:rsidRPr="000B4BCE">
        <w:t xml:space="preserve"> Social Exchange Theory</w:t>
      </w:r>
      <w:r w:rsidR="004748EA">
        <w:t>;</w:t>
      </w:r>
      <w:r w:rsidR="00EB5BCD" w:rsidRPr="000B4BCE">
        <w:t xml:space="preserve"> e.g. </w:t>
      </w:r>
      <w:proofErr w:type="spellStart"/>
      <w:r w:rsidR="00EB5BCD" w:rsidRPr="000B4BCE">
        <w:t>Dillman</w:t>
      </w:r>
      <w:proofErr w:type="spellEnd"/>
      <w:r w:rsidR="00EB5BCD" w:rsidRPr="000B4BCE">
        <w:t xml:space="preserve"> 2014</w:t>
      </w:r>
      <w:r w:rsidR="00451182" w:rsidRPr="000B4BCE">
        <w:t xml:space="preserve">) and therefore represent opportunities to improve aspects of the survey design (see </w:t>
      </w:r>
      <w:r w:rsidR="00A55363" w:rsidRPr="000B4BCE">
        <w:t>opportunities &amp; improvements</w:t>
      </w:r>
      <w:r w:rsidR="00451182" w:rsidRPr="000B4BCE">
        <w:t>, below).</w:t>
      </w:r>
      <w:r w:rsidR="00AC1866" w:rsidRPr="000B4BCE">
        <w:t xml:space="preserve"> By showing actions in their context, this immediately helps to prioritise and support holistic design</w:t>
      </w:r>
      <w:r w:rsidR="0038706F" w:rsidRPr="000B4BCE">
        <w:t xml:space="preserve"> activities </w:t>
      </w:r>
      <w:r w:rsidR="0038706F">
        <w:t xml:space="preserve">by understanding the antecedents and consequences of a given action. </w:t>
      </w:r>
    </w:p>
    <w:p w14:paraId="4F993BC5" w14:textId="4496E58F" w:rsidR="00267A41" w:rsidRDefault="00267A41" w:rsidP="00DB30C3">
      <w:pPr>
        <w:ind w:left="426"/>
      </w:pPr>
    </w:p>
    <w:p w14:paraId="78FF1BB7" w14:textId="4E0B287B" w:rsidR="00CA425B" w:rsidRDefault="001078D8" w:rsidP="00DB30C3">
      <w:pPr>
        <w:ind w:left="426"/>
      </w:pPr>
      <w:r>
        <w:rPr>
          <w:b/>
          <w:bCs/>
        </w:rPr>
        <w:t xml:space="preserve">2. </w:t>
      </w:r>
      <w:r w:rsidR="008B4967">
        <w:rPr>
          <w:b/>
          <w:bCs/>
        </w:rPr>
        <w:t>Time</w:t>
      </w:r>
      <w:r w:rsidR="006C4E1A" w:rsidRPr="006C4E1A">
        <w:rPr>
          <w:b/>
          <w:bCs/>
        </w:rPr>
        <w:t xml:space="preserve">: </w:t>
      </w:r>
      <w:r w:rsidR="008B4967">
        <w:rPr>
          <w:b/>
          <w:bCs/>
        </w:rPr>
        <w:t xml:space="preserve"> </w:t>
      </w:r>
      <w:r w:rsidR="00CA425B">
        <w:t>Individual touchpoints are</w:t>
      </w:r>
      <w:r w:rsidR="00807640">
        <w:t xml:space="preserve"> placed on the page, </w:t>
      </w:r>
      <w:r w:rsidR="00CA425B">
        <w:t>left-to</w:t>
      </w:r>
      <w:r w:rsidR="008B4967">
        <w:t>-</w:t>
      </w:r>
      <w:r w:rsidR="00CA425B">
        <w:t>right</w:t>
      </w:r>
      <w:r w:rsidR="008B4967">
        <w:t xml:space="preserve">, </w:t>
      </w:r>
      <w:r w:rsidR="00807640">
        <w:t xml:space="preserve">to reflect </w:t>
      </w:r>
      <w:r w:rsidR="008B4967">
        <w:t xml:space="preserve">the timing </w:t>
      </w:r>
      <w:r w:rsidR="00807640">
        <w:t xml:space="preserve">and sequence </w:t>
      </w:r>
      <w:r w:rsidR="008B4967">
        <w:t xml:space="preserve">of a given </w:t>
      </w:r>
      <w:r w:rsidR="00807640">
        <w:t>interaction</w:t>
      </w:r>
      <w:r w:rsidR="00451182">
        <w:t xml:space="preserve">. These can be </w:t>
      </w:r>
      <w:r w:rsidR="00CA425B">
        <w:t xml:space="preserve">grouped in stages that reflect significant events in responding to the </w:t>
      </w:r>
      <w:r w:rsidR="006D7FA3">
        <w:t>survey</w:t>
      </w:r>
      <w:r w:rsidR="00451182">
        <w:t xml:space="preserve">, which </w:t>
      </w:r>
      <w:r w:rsidR="006D7FA3">
        <w:t xml:space="preserve">compresses a </w:t>
      </w:r>
      <w:r w:rsidR="00B524EB">
        <w:t>longer</w:t>
      </w:r>
      <w:r w:rsidR="006D7FA3">
        <w:t xml:space="preserve"> period of time into a relatively small diagram.</w:t>
      </w:r>
      <w:r w:rsidR="00CA425B">
        <w:t xml:space="preserve"> An alternative is to represent time in a constant scale</w:t>
      </w:r>
      <w:r w:rsidR="009575F2">
        <w:t xml:space="preserve"> (</w:t>
      </w:r>
      <w:r w:rsidR="006D7FA3">
        <w:t>e.g. individual days or week of time</w:t>
      </w:r>
      <w:r w:rsidR="009575F2">
        <w:t xml:space="preserve">), which </w:t>
      </w:r>
      <w:r w:rsidR="008D0E47">
        <w:t>places emphasis on the temporal connections of events</w:t>
      </w:r>
      <w:r w:rsidR="00CA425B">
        <w:t>, such as the timing of survey requests</w:t>
      </w:r>
      <w:r w:rsidR="008D0E47">
        <w:t xml:space="preserve">, </w:t>
      </w:r>
      <w:r w:rsidR="00CA425B">
        <w:t xml:space="preserve">duration of survey periods or overlapping survey requests as is frequently the case in business surveys. </w:t>
      </w:r>
    </w:p>
    <w:p w14:paraId="1DE1C2E9" w14:textId="77777777" w:rsidR="00CA425B" w:rsidRDefault="00CA425B" w:rsidP="00DB30C3">
      <w:pPr>
        <w:ind w:left="426"/>
      </w:pPr>
    </w:p>
    <w:p w14:paraId="2E1EE893" w14:textId="144B0606" w:rsidR="0072057E" w:rsidRPr="00E11F37" w:rsidRDefault="001078D8" w:rsidP="00DB30C3">
      <w:pPr>
        <w:spacing w:after="240"/>
        <w:ind w:left="426"/>
      </w:pPr>
      <w:r>
        <w:rPr>
          <w:b/>
          <w:bCs/>
        </w:rPr>
        <w:t xml:space="preserve">3. </w:t>
      </w:r>
      <w:r w:rsidR="003D1369">
        <w:rPr>
          <w:b/>
          <w:bCs/>
        </w:rPr>
        <w:t>Multiple modes/channels</w:t>
      </w:r>
      <w:r w:rsidR="006C4E1A">
        <w:rPr>
          <w:b/>
          <w:bCs/>
        </w:rPr>
        <w:t>:</w:t>
      </w:r>
      <w:r w:rsidR="003D1369">
        <w:rPr>
          <w:b/>
          <w:bCs/>
        </w:rPr>
        <w:t xml:space="preserve"> </w:t>
      </w:r>
      <w:r w:rsidR="000903E3">
        <w:t>Contemporary s</w:t>
      </w:r>
      <w:r w:rsidR="00A67DF0">
        <w:t>urveys often use multiple channels of contact, and multiple modes of collection</w:t>
      </w:r>
      <w:r w:rsidR="000903E3">
        <w:t>, each with certain benefits and costs</w:t>
      </w:r>
      <w:r w:rsidR="00A67DF0">
        <w:t xml:space="preserve">. </w:t>
      </w:r>
      <w:r w:rsidR="00451182">
        <w:t xml:space="preserve">The touchpoint-by-time diagram is therefore further divided into separate channels to represent these different mediums, the relationship between the modes, to </w:t>
      </w:r>
      <w:r w:rsidR="00A67DF0">
        <w:t>prompt questions and decisions</w:t>
      </w:r>
      <w:r w:rsidR="000903E3">
        <w:t xml:space="preserve"> about their use. F</w:t>
      </w:r>
      <w:r w:rsidR="007D529A">
        <w:t xml:space="preserve">or example, constructing this diagram in a workshop environment </w:t>
      </w:r>
      <w:r w:rsidR="004B42C2">
        <w:t xml:space="preserve">required </w:t>
      </w:r>
      <w:r w:rsidR="007D529A">
        <w:t xml:space="preserve">participants to engage with whether </w:t>
      </w:r>
      <w:r w:rsidR="00A67DF0">
        <w:t>to offer multiple modes simultaneously or sequentially</w:t>
      </w:r>
      <w:r w:rsidR="007D529A">
        <w:t xml:space="preserve">, prompting discussions about </w:t>
      </w:r>
      <w:r w:rsidR="00FA551D">
        <w:t>the</w:t>
      </w:r>
      <w:r w:rsidR="004B42C2">
        <w:t xml:space="preserve"> </w:t>
      </w:r>
      <w:r w:rsidR="008F4FA5">
        <w:t xml:space="preserve">expected </w:t>
      </w:r>
      <w:r w:rsidR="004B42C2">
        <w:t>impact on response</w:t>
      </w:r>
      <w:r w:rsidR="00105284">
        <w:t xml:space="preserve"> (as informed by the wider literature, and ABS experimentation)</w:t>
      </w:r>
      <w:r w:rsidR="007D529A">
        <w:t xml:space="preserve">, </w:t>
      </w:r>
      <w:r w:rsidR="008F4FA5">
        <w:t xml:space="preserve">and immediately highlighting </w:t>
      </w:r>
      <w:r w:rsidR="007D529A">
        <w:t xml:space="preserve">the </w:t>
      </w:r>
      <w:r w:rsidR="004B42C2">
        <w:t xml:space="preserve">downstream </w:t>
      </w:r>
      <w:r w:rsidR="007D529A">
        <w:t>flow-on effects</w:t>
      </w:r>
      <w:r w:rsidR="008F4FA5">
        <w:t xml:space="preserve"> in terms of data availability and publication deadlines. </w:t>
      </w:r>
      <w:r w:rsidR="00E11F37">
        <w:t xml:space="preserve">Actions conducted in the office to immediately support fieldwork are also shown to provide context (e.g. generation of lists of </w:t>
      </w:r>
      <w:proofErr w:type="spellStart"/>
      <w:r w:rsidR="00E11F37">
        <w:t>nonrespondents</w:t>
      </w:r>
      <w:proofErr w:type="spellEnd"/>
      <w:r w:rsidR="00E11F37">
        <w:t xml:space="preserve">, to enable letters to be sent </w:t>
      </w:r>
      <w:r w:rsidR="00E11F37">
        <w:rPr>
          <w:i/>
          <w:iCs/>
        </w:rPr>
        <w:t>only</w:t>
      </w:r>
      <w:r w:rsidR="00E11F37">
        <w:t xml:space="preserve"> to </w:t>
      </w:r>
      <w:proofErr w:type="spellStart"/>
      <w:r w:rsidR="00E11F37">
        <w:t>nonrespondents</w:t>
      </w:r>
      <w:proofErr w:type="spellEnd"/>
      <w:r w:rsidR="00E11F37">
        <w:t>)</w:t>
      </w:r>
    </w:p>
    <w:p w14:paraId="192E9472" w14:textId="7F83FFCE" w:rsidR="00373F71" w:rsidRDefault="0072057E" w:rsidP="00E11F37">
      <w:pPr>
        <w:spacing w:after="240"/>
      </w:pPr>
      <w:r>
        <w:t>Simply mapping the touchpoints</w:t>
      </w:r>
      <w:r w:rsidR="008D5C56">
        <w:t xml:space="preserve"> </w:t>
      </w:r>
      <w:r>
        <w:t xml:space="preserve">over time and channels, helps to communicate and record the design of the survey. However, additional contextual </w:t>
      </w:r>
      <w:r w:rsidR="00EB4D4B">
        <w:t>information</w:t>
      </w:r>
      <w:r>
        <w:t xml:space="preserve"> can be layered around this diagram to further articulate the design, prompt consideration of the current design or inform further work. </w:t>
      </w:r>
    </w:p>
    <w:p w14:paraId="72709F47" w14:textId="2D87C3FE" w:rsidR="001545BE" w:rsidRDefault="001078D8" w:rsidP="00DB30C3">
      <w:pPr>
        <w:ind w:left="426"/>
      </w:pPr>
      <w:r>
        <w:rPr>
          <w:b/>
          <w:bCs/>
        </w:rPr>
        <w:t xml:space="preserve">4. </w:t>
      </w:r>
      <w:r w:rsidR="004C2CF2" w:rsidRPr="001545BE">
        <w:rPr>
          <w:b/>
          <w:bCs/>
        </w:rPr>
        <w:t>Design Decisions &amp; Considerations</w:t>
      </w:r>
      <w:r w:rsidR="006C4E1A" w:rsidRPr="009916BF">
        <w:rPr>
          <w:b/>
          <w:bCs/>
        </w:rPr>
        <w:t>:</w:t>
      </w:r>
      <w:r w:rsidR="004C2CF2" w:rsidRPr="00373F71">
        <w:t xml:space="preserve"> </w:t>
      </w:r>
      <w:r w:rsidR="004C2CF2">
        <w:t xml:space="preserve">The survey </w:t>
      </w:r>
      <w:r w:rsidR="00177A9C">
        <w:t xml:space="preserve">touchpoints and their content are </w:t>
      </w:r>
      <w:r w:rsidR="004C2CF2">
        <w:t xml:space="preserve">ultimately a reflection of the myriad decisions made about a survey: it’s title, topic, sample design, approach strategy, mode mix, reference period, deadlines, and so on. Listing these </w:t>
      </w:r>
      <w:r w:rsidR="00253C92">
        <w:t xml:space="preserve">on the diagram </w:t>
      </w:r>
      <w:r w:rsidR="004C2CF2">
        <w:t xml:space="preserve">explicitly acknowledges </w:t>
      </w:r>
      <w:r w:rsidR="008C4CB1">
        <w:t>these</w:t>
      </w:r>
      <w:r w:rsidR="004C2CF2">
        <w:t xml:space="preserve"> constraints</w:t>
      </w:r>
      <w:r w:rsidR="008C4CB1">
        <w:t xml:space="preserve">, </w:t>
      </w:r>
      <w:r w:rsidR="004C2CF2">
        <w:t>and contextualises the sequence and logic of touchpoints</w:t>
      </w:r>
      <w:r w:rsidR="00BC4A06">
        <w:t xml:space="preserve">. </w:t>
      </w:r>
      <w:r w:rsidR="004C2CF2">
        <w:t>Further, these can help to guide later design efforts</w:t>
      </w:r>
      <w:r w:rsidR="00157FE1">
        <w:t>,</w:t>
      </w:r>
      <w:r w:rsidR="00F55331">
        <w:t xml:space="preserve"> </w:t>
      </w:r>
      <w:r w:rsidR="004C2CF2">
        <w:t>prompt</w:t>
      </w:r>
      <w:r w:rsidR="00157FE1">
        <w:t>ing</w:t>
      </w:r>
      <w:r w:rsidR="004C2CF2">
        <w:t xml:space="preserve"> consideration of the underlying assumptions and </w:t>
      </w:r>
      <w:r w:rsidR="00157FE1">
        <w:t xml:space="preserve">questioning how these might </w:t>
      </w:r>
      <w:r w:rsidR="004C2CF2">
        <w:t>be altered.</w:t>
      </w:r>
    </w:p>
    <w:p w14:paraId="135B5286" w14:textId="77777777" w:rsidR="001545BE" w:rsidRDefault="001545BE" w:rsidP="00DB30C3">
      <w:pPr>
        <w:ind w:left="426"/>
      </w:pPr>
    </w:p>
    <w:p w14:paraId="2B525367" w14:textId="68E1E4F8" w:rsidR="001545BE" w:rsidRDefault="001078D8" w:rsidP="00DB30C3">
      <w:pPr>
        <w:ind w:left="426"/>
      </w:pPr>
      <w:r>
        <w:rPr>
          <w:b/>
          <w:bCs/>
        </w:rPr>
        <w:t xml:space="preserve">5. </w:t>
      </w:r>
      <w:r w:rsidR="008E7DE2" w:rsidRPr="001545BE">
        <w:rPr>
          <w:b/>
          <w:bCs/>
        </w:rPr>
        <w:t>Empirical evidence</w:t>
      </w:r>
      <w:r w:rsidR="006C4E1A">
        <w:t xml:space="preserve"> </w:t>
      </w:r>
      <w:r w:rsidR="008E7DE2">
        <w:t xml:space="preserve">can be layered onto </w:t>
      </w:r>
      <w:r w:rsidR="004C2CF2">
        <w:t>the touchpoint</w:t>
      </w:r>
      <w:r w:rsidR="00AD3204">
        <w:t>/flowchart</w:t>
      </w:r>
      <w:r w:rsidR="004C2CF2">
        <w:t xml:space="preserve"> layer of the map</w:t>
      </w:r>
      <w:r w:rsidR="008E7DE2">
        <w:t xml:space="preserve">, to inform, explain or justify given designs. This can include quantitative information about respondent </w:t>
      </w:r>
      <w:r w:rsidR="00173D96">
        <w:t xml:space="preserve">behaviours </w:t>
      </w:r>
      <w:r w:rsidR="008E7DE2">
        <w:t xml:space="preserve">such as those gained through experimental research; </w:t>
      </w:r>
      <w:r w:rsidR="00CA3B9C">
        <w:t xml:space="preserve">or </w:t>
      </w:r>
      <w:r w:rsidR="008E7DE2">
        <w:t>qualitative reports to illustrate respondent context and understanding of the task</w:t>
      </w:r>
      <w:r w:rsidR="0003167B">
        <w:t>.</w:t>
      </w:r>
      <w:r w:rsidR="008E7DE2">
        <w:t xml:space="preserve"> This brings the framework to life, reflecting respondent understanding, questions and behaviours that are relevant to response and nonresponse. </w:t>
      </w:r>
      <w:r w:rsidR="0003167B">
        <w:t xml:space="preserve"> This layer also deliberately separates empirical evidence from internal policy positions</w:t>
      </w:r>
      <w:r w:rsidR="00DB4C5F">
        <w:t xml:space="preserve"> </w:t>
      </w:r>
      <w:r w:rsidR="0003167B">
        <w:t xml:space="preserve">to enable discussion about their interaction. </w:t>
      </w:r>
    </w:p>
    <w:p w14:paraId="5C4BE61C" w14:textId="77777777" w:rsidR="001545BE" w:rsidRDefault="001545BE" w:rsidP="00DB30C3">
      <w:pPr>
        <w:ind w:left="426"/>
      </w:pPr>
    </w:p>
    <w:p w14:paraId="0B37EB60" w14:textId="3D19ECD7" w:rsidR="009E0429" w:rsidRDefault="001078D8" w:rsidP="00DB30C3">
      <w:pPr>
        <w:ind w:left="426"/>
      </w:pPr>
      <w:r>
        <w:rPr>
          <w:b/>
          <w:bCs/>
        </w:rPr>
        <w:t xml:space="preserve">6. </w:t>
      </w:r>
      <w:r w:rsidR="008E7DE2" w:rsidRPr="001545BE">
        <w:rPr>
          <w:b/>
          <w:bCs/>
        </w:rPr>
        <w:t xml:space="preserve">Opportunities </w:t>
      </w:r>
      <w:r w:rsidR="00BA165A" w:rsidRPr="001545BE">
        <w:rPr>
          <w:b/>
          <w:bCs/>
        </w:rPr>
        <w:t>and Improvements</w:t>
      </w:r>
      <w:r w:rsidR="009916BF">
        <w:rPr>
          <w:b/>
          <w:bCs/>
        </w:rPr>
        <w:t xml:space="preserve">: </w:t>
      </w:r>
      <w:r w:rsidR="00BA165A" w:rsidRPr="001545BE">
        <w:rPr>
          <w:b/>
          <w:bCs/>
        </w:rPr>
        <w:t xml:space="preserve"> </w:t>
      </w:r>
      <w:r w:rsidR="00935051">
        <w:t>Particular issues and “</w:t>
      </w:r>
      <w:proofErr w:type="spellStart"/>
      <w:r w:rsidR="00BA165A">
        <w:t>Painpoints</w:t>
      </w:r>
      <w:proofErr w:type="spellEnd"/>
      <w:r w:rsidR="00935051">
        <w:t xml:space="preserve">” from the respondent’s perspective </w:t>
      </w:r>
      <w:r w:rsidR="00BA165A">
        <w:t>can be</w:t>
      </w:r>
      <w:r w:rsidR="00D91FB5">
        <w:t xml:space="preserve">, </w:t>
      </w:r>
      <w:r w:rsidR="00BA165A">
        <w:t>either associated with particular touchpoints, or</w:t>
      </w:r>
      <w:r w:rsidR="00A52033">
        <w:t xml:space="preserve"> caus</w:t>
      </w:r>
      <w:r w:rsidR="003247F7">
        <w:t xml:space="preserve">ed </w:t>
      </w:r>
      <w:r w:rsidR="00A52033">
        <w:t xml:space="preserve">by the </w:t>
      </w:r>
      <w:r w:rsidR="003247F7">
        <w:t xml:space="preserve">temporal or conceptual </w:t>
      </w:r>
      <w:r w:rsidR="00A52033">
        <w:t xml:space="preserve">gaps </w:t>
      </w:r>
      <w:r w:rsidR="00BA165A">
        <w:t>“between” touchpoints</w:t>
      </w:r>
      <w:r w:rsidR="00935051">
        <w:t xml:space="preserve"> – such as cases where nonresponse </w:t>
      </w:r>
      <w:proofErr w:type="spellStart"/>
      <w:r w:rsidR="00935051">
        <w:t>followup</w:t>
      </w:r>
      <w:proofErr w:type="spellEnd"/>
      <w:r w:rsidR="00935051">
        <w:t xml:space="preserve"> is </w:t>
      </w:r>
      <w:r w:rsidR="00DB4C5F">
        <w:t xml:space="preserve">a </w:t>
      </w:r>
      <w:r w:rsidR="00935051">
        <w:t xml:space="preserve">significantly time gap from </w:t>
      </w:r>
      <w:r w:rsidR="00DB4C5F">
        <w:t xml:space="preserve">the </w:t>
      </w:r>
      <w:r w:rsidR="00935051">
        <w:t xml:space="preserve">first contact, </w:t>
      </w:r>
      <w:r w:rsidR="00BA165A">
        <w:t xml:space="preserve">which </w:t>
      </w:r>
      <w:r w:rsidR="00BA165A">
        <w:lastRenderedPageBreak/>
        <w:t xml:space="preserve">may affect engagement with the survey or </w:t>
      </w:r>
      <w:r w:rsidR="00935051">
        <w:t xml:space="preserve">introduce sampling </w:t>
      </w:r>
      <w:r w:rsidR="00BA165A">
        <w:t>concerns</w:t>
      </w:r>
      <w:r w:rsidR="007E18F8">
        <w:t>.</w:t>
      </w:r>
      <w:r w:rsidR="005219D7">
        <w:t xml:space="preserve"> Evidence presented on the touchpoint layer may also frame </w:t>
      </w:r>
      <w:r w:rsidR="00DB4C5F">
        <w:t>judgement</w:t>
      </w:r>
      <w:r w:rsidR="008E3AC9">
        <w:t>s</w:t>
      </w:r>
      <w:r w:rsidR="00DB4C5F">
        <w:t xml:space="preserve"> </w:t>
      </w:r>
      <w:r w:rsidR="005219D7">
        <w:t>about what can be improved, and its relative priority.</w:t>
      </w:r>
    </w:p>
    <w:p w14:paraId="002BF3A0" w14:textId="4D5C4575" w:rsidR="00155641" w:rsidRDefault="00155641" w:rsidP="00155641">
      <w:pPr>
        <w:rPr>
          <w:color w:val="000000" w:themeColor="text1"/>
        </w:rPr>
      </w:pPr>
    </w:p>
    <w:p w14:paraId="2AC31997" w14:textId="7E8993D6" w:rsidR="00637229" w:rsidRPr="00637229" w:rsidRDefault="00637229" w:rsidP="00702803">
      <w:pPr>
        <w:rPr>
          <w:color w:val="000000" w:themeColor="text1"/>
        </w:rPr>
      </w:pPr>
      <w:r>
        <w:rPr>
          <w:color w:val="000000" w:themeColor="text1"/>
        </w:rPr>
        <w:t xml:space="preserve">This framework provides a rich set of information to illustrate the impact of survey designs, and inform decisions about these. This can expand to accommodate a huge range of stages and events in a survey production process, and quickly become overwhelming. This requires a map author to “curate” </w:t>
      </w:r>
      <w:r>
        <w:t xml:space="preserve">what is included and important to reflect on a map, and what can be safely excluded.  As such, the framework presented in this paper is not fixed, but should be adapted to the needs and pressures facing a survey practitioner.  By introducing the various policy and empirical constraints facing a given survey </w:t>
      </w:r>
      <w:r w:rsidR="007100B9">
        <w:t>design</w:t>
      </w:r>
      <w:r>
        <w:t>, this frame</w:t>
      </w:r>
      <w:r w:rsidR="00535DD2">
        <w:t>work</w:t>
      </w:r>
      <w:r>
        <w:t xml:space="preserve"> helps to prioritise what should be included.</w:t>
      </w:r>
    </w:p>
    <w:p w14:paraId="4F07A004" w14:textId="77777777" w:rsidR="00702803" w:rsidRDefault="00702803" w:rsidP="00702803"/>
    <w:p w14:paraId="7C6590AD" w14:textId="0A94718E" w:rsidR="00B7468E" w:rsidRDefault="00702803" w:rsidP="00702803">
      <w:r>
        <w:t xml:space="preserve">Visual </w:t>
      </w:r>
      <w:r w:rsidR="00637229">
        <w:t xml:space="preserve">design can support these curation efforts. </w:t>
      </w:r>
      <w:r>
        <w:t xml:space="preserve">For example, in Attachment 1, </w:t>
      </w:r>
      <w:r w:rsidR="00B7468E">
        <w:t xml:space="preserve">colour is used to show the different perspectives –survey manager in blue, infrastructural concerns in grey. </w:t>
      </w:r>
      <w:r>
        <w:t xml:space="preserve"> </w:t>
      </w:r>
      <w:r w:rsidR="00B7468E">
        <w:t xml:space="preserve">Simple boxes represent key touchpoints (e.g. letters, computer interfaces), and are stacked to show repetition. </w:t>
      </w:r>
      <w:r>
        <w:t>In layering evidence over the chart, the r</w:t>
      </w:r>
      <w:r w:rsidR="00B7468E">
        <w:t xml:space="preserve">ecommended but not </w:t>
      </w:r>
      <w:r w:rsidR="00B7468E" w:rsidRPr="00702803">
        <w:t>required</w:t>
      </w:r>
      <w:r w:rsidR="00B7468E">
        <w:t xml:space="preserve"> options are labelled with a blue circle, enclosing quantified impacts where </w:t>
      </w:r>
      <w:r>
        <w:t>available</w:t>
      </w:r>
      <w:r w:rsidR="00B7468E">
        <w:t>. This iconography creates a visual language that</w:t>
      </w:r>
      <w:r>
        <w:t xml:space="preserve"> can be rapidly processed and considered.</w:t>
      </w:r>
    </w:p>
    <w:p w14:paraId="0815359C" w14:textId="77777777" w:rsidR="00702803" w:rsidRDefault="00702803" w:rsidP="00702803"/>
    <w:p w14:paraId="6D86878C" w14:textId="0738E09C" w:rsidR="00D42E25" w:rsidRDefault="009F72D2" w:rsidP="00934CBD">
      <w:pPr>
        <w:spacing w:after="240"/>
      </w:pPr>
      <w:r>
        <w:t xml:space="preserve">While this approach produces </w:t>
      </w:r>
      <w:r w:rsidR="00B36DCB">
        <w:t>compelling</w:t>
      </w:r>
      <w:r>
        <w:t xml:space="preserve"> </w:t>
      </w:r>
      <w:r w:rsidR="00B36DCB">
        <w:t>diagrams</w:t>
      </w:r>
      <w:r>
        <w:t xml:space="preserve"> of survey process</w:t>
      </w:r>
      <w:r w:rsidR="005A2EDC">
        <w:t xml:space="preserve">, </w:t>
      </w:r>
      <w:r w:rsidR="002761D3">
        <w:t xml:space="preserve">it does </w:t>
      </w:r>
      <w:r w:rsidR="005A2EDC">
        <w:t>have limitations.</w:t>
      </w:r>
      <w:r w:rsidR="00D42E25">
        <w:t xml:space="preserve"> </w:t>
      </w:r>
      <w:r w:rsidR="002761D3">
        <w:t xml:space="preserve">This approach is currently </w:t>
      </w:r>
      <w:r w:rsidR="00D42E25">
        <w:t>lim</w:t>
      </w:r>
      <w:r w:rsidR="009D58AA">
        <w:t>i</w:t>
      </w:r>
      <w:r w:rsidR="00D42E25">
        <w:t xml:space="preserve">ted to a single survey protocol. </w:t>
      </w:r>
      <w:r w:rsidR="005A2EDC">
        <w:t xml:space="preserve">Multiple protocols may need to be shown as </w:t>
      </w:r>
      <w:r w:rsidR="00D42E25">
        <w:t>separate maps</w:t>
      </w:r>
      <w:r w:rsidR="005A2EDC">
        <w:t>,</w:t>
      </w:r>
      <w:r w:rsidR="00D42E25">
        <w:t xml:space="preserve"> or </w:t>
      </w:r>
      <w:r w:rsidR="005A2EDC">
        <w:t xml:space="preserve">possibly </w:t>
      </w:r>
      <w:r w:rsidR="00D42E25">
        <w:t>additional layers to the existing map</w:t>
      </w:r>
      <w:r w:rsidR="005A2EDC">
        <w:t xml:space="preserve">, </w:t>
      </w:r>
      <w:r w:rsidR="0092747A">
        <w:t xml:space="preserve">Further exploration of </w:t>
      </w:r>
      <w:r w:rsidR="005A2EDC">
        <w:t>ways to re</w:t>
      </w:r>
      <w:r w:rsidR="00DB3641">
        <w:t>f</w:t>
      </w:r>
      <w:r w:rsidR="005A2EDC">
        <w:t xml:space="preserve">lect </w:t>
      </w:r>
      <w:r w:rsidR="0092747A">
        <w:t>cumulative burden</w:t>
      </w:r>
      <w:r w:rsidR="005A2EDC">
        <w:t xml:space="preserve"> or selection in multiple </w:t>
      </w:r>
      <w:r w:rsidR="0092747A">
        <w:t xml:space="preserve">surveys </w:t>
      </w:r>
      <w:r w:rsidR="005A2EDC">
        <w:t xml:space="preserve">simultaneously </w:t>
      </w:r>
      <w:r w:rsidR="0092747A">
        <w:t>(</w:t>
      </w:r>
      <w:r w:rsidR="005A2EDC">
        <w:t xml:space="preserve">as is common in </w:t>
      </w:r>
      <w:proofErr w:type="spellStart"/>
      <w:r w:rsidR="005A2EDC">
        <w:t>b</w:t>
      </w:r>
      <w:r w:rsidR="0092747A">
        <w:t>usines</w:t>
      </w:r>
      <w:proofErr w:type="spellEnd"/>
      <w:r w:rsidR="0092747A">
        <w:t xml:space="preserve"> </w:t>
      </w:r>
      <w:r w:rsidR="005A2EDC">
        <w:t>surveys</w:t>
      </w:r>
      <w:r w:rsidR="0092747A">
        <w:t>)</w:t>
      </w:r>
      <w:r w:rsidR="005A2EDC">
        <w:t xml:space="preserve"> are yet to be developed</w:t>
      </w:r>
      <w:r w:rsidR="0092747A">
        <w:t xml:space="preserve">. </w:t>
      </w:r>
    </w:p>
    <w:p w14:paraId="4342FE8D" w14:textId="077D7190" w:rsidR="008C761F" w:rsidRDefault="008C761F" w:rsidP="00934CBD">
      <w:pPr>
        <w:spacing w:after="240"/>
      </w:pPr>
      <w:r>
        <w:t>Viewed within the Total Survey Error framewo</w:t>
      </w:r>
      <w:r w:rsidRPr="008535C7">
        <w:t>rk</w:t>
      </w:r>
      <w:r w:rsidR="008535C7" w:rsidRPr="008535C7">
        <w:t xml:space="preserve"> (Groves &amp; </w:t>
      </w:r>
      <w:proofErr w:type="spellStart"/>
      <w:r w:rsidR="008535C7" w:rsidRPr="008535C7">
        <w:t>Lyberg</w:t>
      </w:r>
      <w:proofErr w:type="spellEnd"/>
      <w:r w:rsidR="008535C7" w:rsidRPr="008535C7">
        <w:t>, 2010)</w:t>
      </w:r>
      <w:r w:rsidRPr="008535C7">
        <w:t xml:space="preserve">, </w:t>
      </w:r>
      <w:r>
        <w:t xml:space="preserve">the current </w:t>
      </w:r>
      <w:r w:rsidR="00B62D43">
        <w:t>approach</w:t>
      </w:r>
      <w:r>
        <w:t xml:space="preserve"> focuses on nonresponse error and methods to make and maintain contact with survey respondents. However, issues related to question validity and measurement error are closely related to these behaviours; and the processes used to explain the survey and recruit respondents </w:t>
      </w:r>
      <w:r w:rsidR="00C64377">
        <w:t xml:space="preserve">may frame and alter responses to the questionnaire itself. </w:t>
      </w:r>
      <w:r w:rsidR="00314B0D">
        <w:t xml:space="preserve">While this framework is not inherently linked to TSE it </w:t>
      </w:r>
      <w:r w:rsidR="004F7D2C">
        <w:t>c</w:t>
      </w:r>
      <w:r w:rsidR="00314B0D">
        <w:t>ould be extended to integrate these interactions between survey organisation and respondent, across both sampling and non-sampling error.</w:t>
      </w:r>
    </w:p>
    <w:p w14:paraId="49516D2A" w14:textId="605225A1" w:rsidR="00DB3004" w:rsidRDefault="00DB3004" w:rsidP="00DB3004">
      <w:r w:rsidRPr="00155641">
        <w:rPr>
          <w:color w:val="000000" w:themeColor="text1"/>
        </w:rPr>
        <w:t xml:space="preserve">These maps can be produced </w:t>
      </w:r>
      <w:r>
        <w:rPr>
          <w:color w:val="000000" w:themeColor="text1"/>
        </w:rPr>
        <w:t xml:space="preserve">to document </w:t>
      </w:r>
      <w:r w:rsidRPr="00155641">
        <w:rPr>
          <w:color w:val="000000" w:themeColor="text1"/>
        </w:rPr>
        <w:t xml:space="preserve">the current state </w:t>
      </w:r>
      <w:r>
        <w:rPr>
          <w:color w:val="000000" w:themeColor="text1"/>
        </w:rPr>
        <w:t xml:space="preserve">of a collection, </w:t>
      </w:r>
      <w:r w:rsidRPr="00155641">
        <w:rPr>
          <w:color w:val="000000" w:themeColor="text1"/>
        </w:rPr>
        <w:t xml:space="preserve">or used as a framework to </w:t>
      </w:r>
      <w:r>
        <w:rPr>
          <w:color w:val="000000" w:themeColor="text1"/>
        </w:rPr>
        <w:t xml:space="preserve">collaboratively develop </w:t>
      </w:r>
      <w:r w:rsidRPr="00155641">
        <w:rPr>
          <w:color w:val="000000" w:themeColor="text1"/>
        </w:rPr>
        <w:t>new collection</w:t>
      </w:r>
      <w:r>
        <w:rPr>
          <w:color w:val="000000" w:themeColor="text1"/>
        </w:rPr>
        <w:t>s in workshop environments. In either usage, these maps tend to produce rich diagrams,</w:t>
      </w:r>
      <w:r>
        <w:t xml:space="preserve"> illustrating the pathway of gaining response and facilitating discussion across functional “silos” about their contributions to gaining response</w:t>
      </w:r>
      <w:r w:rsidR="00E46168">
        <w:t>, and enabling holistic approaches to survey design.</w:t>
      </w:r>
    </w:p>
    <w:p w14:paraId="67E7D6FF" w14:textId="113BA108" w:rsidR="00EA38A0" w:rsidRDefault="00EA38A0">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379D7418" w14:textId="77777777" w:rsidR="00527807" w:rsidRDefault="00527807">
      <w:pPr>
        <w:rPr>
          <w:rFonts w:asciiTheme="majorHAnsi" w:eastAsiaTheme="majorEastAsia" w:hAnsiTheme="majorHAnsi" w:cstheme="majorBidi"/>
          <w:color w:val="2F5496" w:themeColor="accent1" w:themeShade="BF"/>
          <w:sz w:val="26"/>
          <w:szCs w:val="26"/>
        </w:rPr>
      </w:pPr>
    </w:p>
    <w:p w14:paraId="512345F6" w14:textId="0E0D7708" w:rsidR="00B70776" w:rsidRDefault="00B70776" w:rsidP="00CA1EC1">
      <w:pPr>
        <w:pStyle w:val="Heading1"/>
      </w:pPr>
      <w:r>
        <w:t>References</w:t>
      </w:r>
    </w:p>
    <w:p w14:paraId="12A08ADA" w14:textId="45883151" w:rsidR="00B70776" w:rsidRDefault="00B70776" w:rsidP="00B70776">
      <w:pPr>
        <w:pStyle w:val="References"/>
      </w:pPr>
      <w:proofErr w:type="spellStart"/>
      <w:r w:rsidRPr="00FF46F7">
        <w:t>Dillman</w:t>
      </w:r>
      <w:proofErr w:type="spellEnd"/>
      <w:r w:rsidRPr="00FF46F7">
        <w:t xml:space="preserve">, D., </w:t>
      </w:r>
      <w:proofErr w:type="spellStart"/>
      <w:r w:rsidRPr="00FF46F7">
        <w:t>Symth</w:t>
      </w:r>
      <w:proofErr w:type="spellEnd"/>
      <w:r w:rsidRPr="00FF46F7">
        <w:t>, J. D., &amp; Christian L. M. (2014). Internet, Phone, and Mixed-Mode Surveys: The Tailored Design Method. (4th Ed). Wiley &amp; Sons: New Jersey.</w:t>
      </w:r>
    </w:p>
    <w:p w14:paraId="59957E3D" w14:textId="77777777" w:rsidR="00C82EEA" w:rsidRPr="00FF46F7" w:rsidRDefault="00C82EEA" w:rsidP="00C82EEA">
      <w:pPr>
        <w:pStyle w:val="References"/>
      </w:pPr>
      <w:proofErr w:type="spellStart"/>
      <w:r w:rsidRPr="00FF46F7">
        <w:t>Dubberly</w:t>
      </w:r>
      <w:proofErr w:type="spellEnd"/>
      <w:r w:rsidRPr="00FF46F7">
        <w:t xml:space="preserve">, H. (2008). How do you design? </w:t>
      </w:r>
      <w:proofErr w:type="spellStart"/>
      <w:r w:rsidRPr="00FF46F7">
        <w:t>Retrived</w:t>
      </w:r>
      <w:proofErr w:type="spellEnd"/>
      <w:r w:rsidRPr="00FF46F7">
        <w:t xml:space="preserve"> from http://www.dubberly.com/wp-content/uploads/2008/06/ddo_designprocess.pdf</w:t>
      </w:r>
    </w:p>
    <w:p w14:paraId="544F1EBA" w14:textId="1774F600" w:rsidR="00B70776" w:rsidRDefault="00B70776" w:rsidP="00B70776">
      <w:pPr>
        <w:pStyle w:val="References"/>
      </w:pPr>
      <w:r w:rsidRPr="00FF46F7">
        <w:t xml:space="preserve">Fishbein, M., &amp; </w:t>
      </w:r>
      <w:proofErr w:type="spellStart"/>
      <w:r w:rsidRPr="00FF46F7">
        <w:t>Ajzen</w:t>
      </w:r>
      <w:proofErr w:type="spellEnd"/>
      <w:r w:rsidRPr="00FF46F7">
        <w:t xml:space="preserve">, I. (2010). Predicting and changing </w:t>
      </w:r>
      <w:proofErr w:type="spellStart"/>
      <w:r w:rsidRPr="00FF46F7">
        <w:t>behavior</w:t>
      </w:r>
      <w:proofErr w:type="spellEnd"/>
      <w:r w:rsidRPr="00FF46F7">
        <w:t xml:space="preserve">: The reasoned action approach. Psychology Press. </w:t>
      </w:r>
    </w:p>
    <w:p w14:paraId="21D50F12" w14:textId="608C6A10" w:rsidR="00B70776" w:rsidRDefault="00B70776" w:rsidP="00B70776">
      <w:pPr>
        <w:pStyle w:val="References"/>
      </w:pPr>
      <w:r w:rsidRPr="00FF46F7">
        <w:t>Groves, R. M., Cialdini, R. B., &amp; Couper, M. P. (1992). Understanding the Decision to Participate in a Survey. Public Opinion Quarterly, 56(4), 475–495.</w:t>
      </w:r>
    </w:p>
    <w:p w14:paraId="6671DD90" w14:textId="77777777" w:rsidR="00BE29F5" w:rsidRPr="00FF46F7" w:rsidRDefault="00BE29F5" w:rsidP="00BE29F5">
      <w:pPr>
        <w:pStyle w:val="References"/>
      </w:pPr>
      <w:r w:rsidRPr="00FF46F7">
        <w:t xml:space="preserve">Groves, R. M., Presser, S., &amp; </w:t>
      </w:r>
      <w:proofErr w:type="spellStart"/>
      <w:r w:rsidRPr="00FF46F7">
        <w:t>Dipko</w:t>
      </w:r>
      <w:proofErr w:type="spellEnd"/>
      <w:r w:rsidRPr="00FF46F7">
        <w:t>, S. (2004). Role of Topic Interest in Survey Participation Decisions. Public Opinion Quarterly, 68(1), 2–31.</w:t>
      </w:r>
    </w:p>
    <w:p w14:paraId="44CC8FD6" w14:textId="60E2DCAC" w:rsidR="00DB3641" w:rsidRPr="00FF46F7" w:rsidRDefault="00DB3641" w:rsidP="00DB3641">
      <w:pPr>
        <w:pStyle w:val="References"/>
      </w:pPr>
      <w:r w:rsidRPr="00FF46F7">
        <w:t>Groves, R. M., Singer, E., &amp; Corning, A. (2000). Leverage-Saliency Theory of Survey Participation. Public Opinion Quarterly, 64(3), 299–308. http://doi.org/10.1086/317990</w:t>
      </w:r>
    </w:p>
    <w:p w14:paraId="0576B6F0" w14:textId="394DD4D3" w:rsidR="00C82EEA" w:rsidRPr="00FF46F7" w:rsidRDefault="00C82EEA" w:rsidP="00CA1EC1">
      <w:pPr>
        <w:pStyle w:val="References"/>
      </w:pPr>
      <w:proofErr w:type="spellStart"/>
      <w:r w:rsidRPr="00FF46F7">
        <w:t>Kalbach</w:t>
      </w:r>
      <w:proofErr w:type="spellEnd"/>
      <w:r w:rsidRPr="00FF46F7">
        <w:t>, J. (2016). Mapping Experiences.</w:t>
      </w:r>
      <w:r>
        <w:t xml:space="preserve"> </w:t>
      </w:r>
      <w:r w:rsidRPr="00FF46F7">
        <w:t>O'Reilly Media</w:t>
      </w:r>
      <w:r>
        <w:t>: Canada</w:t>
      </w:r>
    </w:p>
    <w:p w14:paraId="61841362" w14:textId="77777777" w:rsidR="00B70776" w:rsidRPr="00FF46F7" w:rsidRDefault="00B70776" w:rsidP="00B70776">
      <w:pPr>
        <w:pStyle w:val="References"/>
      </w:pPr>
      <w:proofErr w:type="spellStart"/>
      <w:r w:rsidRPr="00FF46F7">
        <w:t>Peytchev</w:t>
      </w:r>
      <w:proofErr w:type="spellEnd"/>
      <w:r w:rsidRPr="00FF46F7">
        <w:t xml:space="preserve">, A., Baxter, R. K., &amp; Carley-Baxter, L. R. (2009). Not All Survey Effort is Equal. Public Opinion Quarterly, 73(4), 785–806. </w:t>
      </w:r>
      <w:hyperlink r:id="rId8" w:history="1">
        <w:r w:rsidRPr="00FF46F7">
          <w:rPr>
            <w:rStyle w:val="Hyperlink"/>
            <w:color w:val="auto"/>
            <w:u w:val="none"/>
          </w:rPr>
          <w:t>http://doi.org/10.1093/poq/nfp037</w:t>
        </w:r>
      </w:hyperlink>
    </w:p>
    <w:p w14:paraId="23A73AB6" w14:textId="79EA71A0" w:rsidR="00B70776" w:rsidRPr="00CA1EC1" w:rsidRDefault="00C82EEA" w:rsidP="00CA1EC1">
      <w:pPr>
        <w:pStyle w:val="References"/>
      </w:pPr>
      <w:r w:rsidRPr="00FF46F7">
        <w:t xml:space="preserve">Patton, J. (2014). User Story Mapping. </w:t>
      </w:r>
      <w:r w:rsidRPr="00CA1EC1">
        <w:t>O'Reilly Media.</w:t>
      </w:r>
    </w:p>
    <w:p w14:paraId="0C4FC312" w14:textId="6061D14C" w:rsidR="00B70776" w:rsidRPr="00CA1EC1" w:rsidRDefault="00B70776" w:rsidP="00B70776">
      <w:pPr>
        <w:pStyle w:val="References"/>
      </w:pPr>
      <w:proofErr w:type="spellStart"/>
      <w:r w:rsidRPr="00CA1EC1">
        <w:t>Redelmeier</w:t>
      </w:r>
      <w:proofErr w:type="spellEnd"/>
      <w:r w:rsidRPr="00CA1EC1">
        <w:t xml:space="preserve">, D. A., &amp; </w:t>
      </w:r>
      <w:proofErr w:type="spellStart"/>
      <w:r w:rsidRPr="00CA1EC1">
        <w:t>Shafir</w:t>
      </w:r>
      <w:proofErr w:type="spellEnd"/>
      <w:r w:rsidRPr="00CA1EC1">
        <w:t xml:space="preserve">, E. (2020). Pitfalls of judgment during the COVID-19 pandemic. The Lancet Public Health, 5(6), e306–e308. </w:t>
      </w:r>
      <w:hyperlink r:id="rId9" w:history="1">
        <w:r w:rsidRPr="00CA1EC1">
          <w:rPr>
            <w:rStyle w:val="Hyperlink"/>
            <w:color w:val="auto"/>
            <w:u w:val="none"/>
          </w:rPr>
          <w:t>http://doi.org/10.1016/S2468-2667(20)30096-7</w:t>
        </w:r>
      </w:hyperlink>
    </w:p>
    <w:p w14:paraId="0F9FABD4" w14:textId="1CCCEAAB" w:rsidR="00B70776" w:rsidRPr="00CA1EC1" w:rsidRDefault="00B70776" w:rsidP="00CA1EC1">
      <w:pPr>
        <w:pStyle w:val="References"/>
      </w:pPr>
      <w:proofErr w:type="spellStart"/>
      <w:r w:rsidRPr="00CA1EC1">
        <w:t>Snijkers</w:t>
      </w:r>
      <w:proofErr w:type="spellEnd"/>
      <w:r w:rsidRPr="00CA1EC1">
        <w:t xml:space="preserve">, G. (2018).  Presentation for ABS. Melbourne, Australia. </w:t>
      </w:r>
    </w:p>
    <w:p w14:paraId="6BBDB42A" w14:textId="77777777" w:rsidR="00B70776" w:rsidRPr="00FF46F7" w:rsidRDefault="00B70776" w:rsidP="00B70776">
      <w:pPr>
        <w:pStyle w:val="References"/>
      </w:pPr>
      <w:r w:rsidRPr="00CA1EC1">
        <w:t xml:space="preserve">Yan, T., Fricker, S., &amp; </w:t>
      </w:r>
      <w:proofErr w:type="spellStart"/>
      <w:r w:rsidRPr="00CA1EC1">
        <w:t>Tsia</w:t>
      </w:r>
      <w:proofErr w:type="spellEnd"/>
      <w:r w:rsidRPr="00CA1EC1">
        <w:t>, S. (2019). Response burden: What is it and what predicts it? In P. C. Beatty, D. Collins, L. Kaye, J.-L. Padilla, G. B</w:t>
      </w:r>
      <w:r w:rsidRPr="00FF46F7">
        <w:t>. Willis, &amp; A. Wilmot (Eds.), Advances in Questionnaire Design, Development, Evaluation and Testing (pp. 1–20). John Wiley &amp; Sons.</w:t>
      </w:r>
    </w:p>
    <w:p w14:paraId="658886E9" w14:textId="77777777" w:rsidR="00F72A12" w:rsidRDefault="00F72A12" w:rsidP="00CA1EC1"/>
    <w:sectPr w:rsidR="00F72A12">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46BC" w14:textId="77777777" w:rsidR="00C53065" w:rsidRDefault="00C53065" w:rsidP="00934CBD">
      <w:r>
        <w:separator/>
      </w:r>
    </w:p>
  </w:endnote>
  <w:endnote w:type="continuationSeparator" w:id="0">
    <w:p w14:paraId="1EEC9BE8" w14:textId="77777777" w:rsidR="00C53065" w:rsidRDefault="00C53065" w:rsidP="0093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0196697"/>
      <w:docPartObj>
        <w:docPartGallery w:val="Page Numbers (Bottom of Page)"/>
        <w:docPartUnique/>
      </w:docPartObj>
    </w:sdtPr>
    <w:sdtEndPr>
      <w:rPr>
        <w:rStyle w:val="PageNumber"/>
      </w:rPr>
    </w:sdtEndPr>
    <w:sdtContent>
      <w:p w14:paraId="1006CD8E" w14:textId="0F9E5862" w:rsidR="00A91047" w:rsidRDefault="00A91047" w:rsidP="00A91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06A578" w14:textId="77777777" w:rsidR="00A91047" w:rsidRDefault="00A91047" w:rsidP="00E71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355025"/>
      <w:docPartObj>
        <w:docPartGallery w:val="Page Numbers (Bottom of Page)"/>
        <w:docPartUnique/>
      </w:docPartObj>
    </w:sdtPr>
    <w:sdtEndPr>
      <w:rPr>
        <w:rStyle w:val="PageNumber"/>
      </w:rPr>
    </w:sdtEndPr>
    <w:sdtContent>
      <w:p w14:paraId="5676FAA2" w14:textId="55CC9DC6" w:rsidR="00A91047" w:rsidRDefault="00A91047" w:rsidP="00A91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ABBE4" w14:textId="77777777" w:rsidR="00A91047" w:rsidRDefault="00A91047" w:rsidP="00E710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B48F" w14:textId="77777777" w:rsidR="00C53065" w:rsidRDefault="00C53065" w:rsidP="00934CBD">
      <w:r>
        <w:separator/>
      </w:r>
    </w:p>
  </w:footnote>
  <w:footnote w:type="continuationSeparator" w:id="0">
    <w:p w14:paraId="7DC9CA3A" w14:textId="77777777" w:rsidR="00C53065" w:rsidRDefault="00C53065" w:rsidP="00934CBD">
      <w:r>
        <w:continuationSeparator/>
      </w:r>
    </w:p>
  </w:footnote>
  <w:footnote w:id="1">
    <w:p w14:paraId="15DEDCFC" w14:textId="7D8DFCBF" w:rsidR="00744125" w:rsidRDefault="00744125">
      <w:pPr>
        <w:pStyle w:val="FootnoteText"/>
      </w:pPr>
      <w:r>
        <w:rPr>
          <w:rStyle w:val="FootnoteReference"/>
        </w:rPr>
        <w:footnoteRef/>
      </w:r>
      <w:r>
        <w:t xml:space="preserve"> </w:t>
      </w:r>
      <w:r w:rsidR="001F48D6">
        <w:t>Thank</w:t>
      </w:r>
      <w:r>
        <w:t xml:space="preserve"> </w:t>
      </w:r>
      <w:r w:rsidR="001F48D6">
        <w:t xml:space="preserve">you to </w:t>
      </w:r>
      <w:r>
        <w:t xml:space="preserve">Yvette </w:t>
      </w:r>
      <w:proofErr w:type="spellStart"/>
      <w:r>
        <w:t>Kezilas</w:t>
      </w:r>
      <w:proofErr w:type="spellEnd"/>
      <w:r>
        <w:t xml:space="preserve"> for her review</w:t>
      </w:r>
      <w:r w:rsidR="00A454DC">
        <w:t xml:space="preserve"> </w:t>
      </w:r>
      <w:r w:rsidR="008F0A45">
        <w:t>and input to this paper.</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4F8"/>
    <w:multiLevelType w:val="hybridMultilevel"/>
    <w:tmpl w:val="4BA8C4C4"/>
    <w:lvl w:ilvl="0" w:tplc="2B04C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17B6D"/>
    <w:multiLevelType w:val="hybridMultilevel"/>
    <w:tmpl w:val="C8363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60E89"/>
    <w:multiLevelType w:val="hybridMultilevel"/>
    <w:tmpl w:val="A700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87AC2"/>
    <w:multiLevelType w:val="hybridMultilevel"/>
    <w:tmpl w:val="B87CDB1C"/>
    <w:lvl w:ilvl="0" w:tplc="FB3E3A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259E5"/>
    <w:multiLevelType w:val="hybridMultilevel"/>
    <w:tmpl w:val="C2C0F0A4"/>
    <w:lvl w:ilvl="0" w:tplc="DEF4C5D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91B83"/>
    <w:multiLevelType w:val="hybridMultilevel"/>
    <w:tmpl w:val="2D32340A"/>
    <w:lvl w:ilvl="0" w:tplc="2B04C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57357"/>
    <w:multiLevelType w:val="hybridMultilevel"/>
    <w:tmpl w:val="59AED73C"/>
    <w:lvl w:ilvl="0" w:tplc="2B04C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FB"/>
    <w:rsid w:val="00002948"/>
    <w:rsid w:val="000041EC"/>
    <w:rsid w:val="00004B9C"/>
    <w:rsid w:val="0000556F"/>
    <w:rsid w:val="0002211C"/>
    <w:rsid w:val="000226C1"/>
    <w:rsid w:val="000302D6"/>
    <w:rsid w:val="00030364"/>
    <w:rsid w:val="00030FF3"/>
    <w:rsid w:val="0003167B"/>
    <w:rsid w:val="00040C43"/>
    <w:rsid w:val="00055DDE"/>
    <w:rsid w:val="00061C48"/>
    <w:rsid w:val="00062752"/>
    <w:rsid w:val="000630AC"/>
    <w:rsid w:val="00063F10"/>
    <w:rsid w:val="00065782"/>
    <w:rsid w:val="0007198C"/>
    <w:rsid w:val="00081931"/>
    <w:rsid w:val="00082FB9"/>
    <w:rsid w:val="00085C4B"/>
    <w:rsid w:val="00086C37"/>
    <w:rsid w:val="000901B6"/>
    <w:rsid w:val="000903E3"/>
    <w:rsid w:val="0009677F"/>
    <w:rsid w:val="000A410C"/>
    <w:rsid w:val="000A518E"/>
    <w:rsid w:val="000B2391"/>
    <w:rsid w:val="000B2642"/>
    <w:rsid w:val="000B4BCE"/>
    <w:rsid w:val="000C1916"/>
    <w:rsid w:val="000C6C28"/>
    <w:rsid w:val="000D1086"/>
    <w:rsid w:val="000D1A3F"/>
    <w:rsid w:val="000F000F"/>
    <w:rsid w:val="000F119F"/>
    <w:rsid w:val="00100A12"/>
    <w:rsid w:val="00105284"/>
    <w:rsid w:val="00106FFC"/>
    <w:rsid w:val="001078D8"/>
    <w:rsid w:val="00116536"/>
    <w:rsid w:val="0012492A"/>
    <w:rsid w:val="00126C46"/>
    <w:rsid w:val="0014269A"/>
    <w:rsid w:val="00145485"/>
    <w:rsid w:val="00145F2C"/>
    <w:rsid w:val="00151399"/>
    <w:rsid w:val="00154332"/>
    <w:rsid w:val="001545BE"/>
    <w:rsid w:val="00155641"/>
    <w:rsid w:val="00157FE1"/>
    <w:rsid w:val="00161DAA"/>
    <w:rsid w:val="00167494"/>
    <w:rsid w:val="00170F96"/>
    <w:rsid w:val="00172F28"/>
    <w:rsid w:val="00173D96"/>
    <w:rsid w:val="00177108"/>
    <w:rsid w:val="00177A9C"/>
    <w:rsid w:val="001909DD"/>
    <w:rsid w:val="0019625B"/>
    <w:rsid w:val="001A5588"/>
    <w:rsid w:val="001A5D3C"/>
    <w:rsid w:val="001B000A"/>
    <w:rsid w:val="001B0F7C"/>
    <w:rsid w:val="001B2461"/>
    <w:rsid w:val="001B61BE"/>
    <w:rsid w:val="001C2414"/>
    <w:rsid w:val="001C31B7"/>
    <w:rsid w:val="001C3C48"/>
    <w:rsid w:val="001D0AC6"/>
    <w:rsid w:val="001D3F4A"/>
    <w:rsid w:val="001D61E3"/>
    <w:rsid w:val="001E0C44"/>
    <w:rsid w:val="001E16D7"/>
    <w:rsid w:val="001E4C69"/>
    <w:rsid w:val="001E595C"/>
    <w:rsid w:val="001F48D6"/>
    <w:rsid w:val="001F6BA0"/>
    <w:rsid w:val="00201374"/>
    <w:rsid w:val="00201CCC"/>
    <w:rsid w:val="00202477"/>
    <w:rsid w:val="0020292E"/>
    <w:rsid w:val="0020552E"/>
    <w:rsid w:val="0020556B"/>
    <w:rsid w:val="002100C6"/>
    <w:rsid w:val="00210185"/>
    <w:rsid w:val="00210D6D"/>
    <w:rsid w:val="002353D8"/>
    <w:rsid w:val="00246080"/>
    <w:rsid w:val="00253C92"/>
    <w:rsid w:val="002542CD"/>
    <w:rsid w:val="00254DA0"/>
    <w:rsid w:val="00256F03"/>
    <w:rsid w:val="002603BB"/>
    <w:rsid w:val="00267A41"/>
    <w:rsid w:val="00267DB1"/>
    <w:rsid w:val="002707BD"/>
    <w:rsid w:val="00270E7E"/>
    <w:rsid w:val="00274D1A"/>
    <w:rsid w:val="002761D3"/>
    <w:rsid w:val="0027657D"/>
    <w:rsid w:val="002913E7"/>
    <w:rsid w:val="002919B5"/>
    <w:rsid w:val="00293501"/>
    <w:rsid w:val="00295882"/>
    <w:rsid w:val="002A134D"/>
    <w:rsid w:val="002A4584"/>
    <w:rsid w:val="002C40D3"/>
    <w:rsid w:val="002D3671"/>
    <w:rsid w:val="002E2AEE"/>
    <w:rsid w:val="002E3A42"/>
    <w:rsid w:val="002E74BD"/>
    <w:rsid w:val="002E797B"/>
    <w:rsid w:val="002F2088"/>
    <w:rsid w:val="002F40B7"/>
    <w:rsid w:val="002F4780"/>
    <w:rsid w:val="002F5BF8"/>
    <w:rsid w:val="003013AA"/>
    <w:rsid w:val="00302387"/>
    <w:rsid w:val="0030270C"/>
    <w:rsid w:val="00304625"/>
    <w:rsid w:val="00306C83"/>
    <w:rsid w:val="00311999"/>
    <w:rsid w:val="00312E43"/>
    <w:rsid w:val="00314B0D"/>
    <w:rsid w:val="0031757D"/>
    <w:rsid w:val="0032138E"/>
    <w:rsid w:val="003247F7"/>
    <w:rsid w:val="00326387"/>
    <w:rsid w:val="00332A7F"/>
    <w:rsid w:val="00333DD1"/>
    <w:rsid w:val="003358A2"/>
    <w:rsid w:val="00335D80"/>
    <w:rsid w:val="003368D1"/>
    <w:rsid w:val="00337203"/>
    <w:rsid w:val="00341256"/>
    <w:rsid w:val="00341CC1"/>
    <w:rsid w:val="003477D8"/>
    <w:rsid w:val="00353EF1"/>
    <w:rsid w:val="0035525A"/>
    <w:rsid w:val="003557DE"/>
    <w:rsid w:val="00355FB1"/>
    <w:rsid w:val="003565D6"/>
    <w:rsid w:val="00356855"/>
    <w:rsid w:val="00373F71"/>
    <w:rsid w:val="003763A7"/>
    <w:rsid w:val="0038588E"/>
    <w:rsid w:val="0038706F"/>
    <w:rsid w:val="00387D10"/>
    <w:rsid w:val="00391899"/>
    <w:rsid w:val="0039597A"/>
    <w:rsid w:val="003B14DF"/>
    <w:rsid w:val="003B3D90"/>
    <w:rsid w:val="003B5A01"/>
    <w:rsid w:val="003C3F38"/>
    <w:rsid w:val="003D1369"/>
    <w:rsid w:val="003D3499"/>
    <w:rsid w:val="003E0053"/>
    <w:rsid w:val="003E0FC8"/>
    <w:rsid w:val="003E3AE8"/>
    <w:rsid w:val="003F62F5"/>
    <w:rsid w:val="00400CD1"/>
    <w:rsid w:val="00403586"/>
    <w:rsid w:val="00405439"/>
    <w:rsid w:val="004107BF"/>
    <w:rsid w:val="00410F12"/>
    <w:rsid w:val="00415917"/>
    <w:rsid w:val="004278CF"/>
    <w:rsid w:val="004316F8"/>
    <w:rsid w:val="0043454B"/>
    <w:rsid w:val="00451182"/>
    <w:rsid w:val="00452081"/>
    <w:rsid w:val="004534D1"/>
    <w:rsid w:val="00453877"/>
    <w:rsid w:val="00455D2C"/>
    <w:rsid w:val="00457989"/>
    <w:rsid w:val="00460218"/>
    <w:rsid w:val="00461495"/>
    <w:rsid w:val="00463D4F"/>
    <w:rsid w:val="004748EA"/>
    <w:rsid w:val="00475231"/>
    <w:rsid w:val="00496D38"/>
    <w:rsid w:val="004A2CBF"/>
    <w:rsid w:val="004A2D24"/>
    <w:rsid w:val="004A72EC"/>
    <w:rsid w:val="004B17FF"/>
    <w:rsid w:val="004B42C2"/>
    <w:rsid w:val="004B4DDD"/>
    <w:rsid w:val="004C0DDE"/>
    <w:rsid w:val="004C0E52"/>
    <w:rsid w:val="004C2CF2"/>
    <w:rsid w:val="004C437A"/>
    <w:rsid w:val="004C43DC"/>
    <w:rsid w:val="004D04B2"/>
    <w:rsid w:val="004D24DC"/>
    <w:rsid w:val="004D2875"/>
    <w:rsid w:val="004D47B5"/>
    <w:rsid w:val="004D6578"/>
    <w:rsid w:val="004D79B3"/>
    <w:rsid w:val="004E2E6E"/>
    <w:rsid w:val="004E7969"/>
    <w:rsid w:val="004F7D2C"/>
    <w:rsid w:val="00503673"/>
    <w:rsid w:val="00505659"/>
    <w:rsid w:val="00510169"/>
    <w:rsid w:val="005131E2"/>
    <w:rsid w:val="005137EE"/>
    <w:rsid w:val="00513FD4"/>
    <w:rsid w:val="005164E8"/>
    <w:rsid w:val="005219D7"/>
    <w:rsid w:val="00527807"/>
    <w:rsid w:val="00535DD2"/>
    <w:rsid w:val="00535F0B"/>
    <w:rsid w:val="00535FD1"/>
    <w:rsid w:val="00537327"/>
    <w:rsid w:val="00543E3A"/>
    <w:rsid w:val="0055028A"/>
    <w:rsid w:val="00550376"/>
    <w:rsid w:val="00564E7B"/>
    <w:rsid w:val="005802E1"/>
    <w:rsid w:val="005830AA"/>
    <w:rsid w:val="00586FDF"/>
    <w:rsid w:val="00592326"/>
    <w:rsid w:val="00592629"/>
    <w:rsid w:val="00593197"/>
    <w:rsid w:val="005939A7"/>
    <w:rsid w:val="005A2EDC"/>
    <w:rsid w:val="005A3AEF"/>
    <w:rsid w:val="005A63B8"/>
    <w:rsid w:val="005B12DC"/>
    <w:rsid w:val="005B7845"/>
    <w:rsid w:val="005C4CE3"/>
    <w:rsid w:val="005C5CC4"/>
    <w:rsid w:val="005C778C"/>
    <w:rsid w:val="005D15F3"/>
    <w:rsid w:val="005D1C11"/>
    <w:rsid w:val="005D7108"/>
    <w:rsid w:val="005E1BCE"/>
    <w:rsid w:val="005E33D6"/>
    <w:rsid w:val="005E4F1C"/>
    <w:rsid w:val="005F2664"/>
    <w:rsid w:val="00611590"/>
    <w:rsid w:val="006134BE"/>
    <w:rsid w:val="006149AA"/>
    <w:rsid w:val="0063259C"/>
    <w:rsid w:val="00633D90"/>
    <w:rsid w:val="00637229"/>
    <w:rsid w:val="00645A85"/>
    <w:rsid w:val="0065731E"/>
    <w:rsid w:val="0067090C"/>
    <w:rsid w:val="00685823"/>
    <w:rsid w:val="00686E0C"/>
    <w:rsid w:val="00692C51"/>
    <w:rsid w:val="00695A24"/>
    <w:rsid w:val="006A1BB5"/>
    <w:rsid w:val="006A2172"/>
    <w:rsid w:val="006A5DA1"/>
    <w:rsid w:val="006C417A"/>
    <w:rsid w:val="006C4E1A"/>
    <w:rsid w:val="006D1A8C"/>
    <w:rsid w:val="006D7FA3"/>
    <w:rsid w:val="006E221D"/>
    <w:rsid w:val="006E5CF8"/>
    <w:rsid w:val="006E60AA"/>
    <w:rsid w:val="006E61B2"/>
    <w:rsid w:val="006E61BD"/>
    <w:rsid w:val="006F41CA"/>
    <w:rsid w:val="006F57B1"/>
    <w:rsid w:val="006F6F07"/>
    <w:rsid w:val="00702803"/>
    <w:rsid w:val="0070304B"/>
    <w:rsid w:val="0070447F"/>
    <w:rsid w:val="00704A48"/>
    <w:rsid w:val="00706C5C"/>
    <w:rsid w:val="007100B9"/>
    <w:rsid w:val="00710460"/>
    <w:rsid w:val="00716D35"/>
    <w:rsid w:val="007200FF"/>
    <w:rsid w:val="0072057E"/>
    <w:rsid w:val="007311DA"/>
    <w:rsid w:val="007313D1"/>
    <w:rsid w:val="007346C3"/>
    <w:rsid w:val="007349EA"/>
    <w:rsid w:val="007350E1"/>
    <w:rsid w:val="00736683"/>
    <w:rsid w:val="00742BE3"/>
    <w:rsid w:val="00744125"/>
    <w:rsid w:val="00744A85"/>
    <w:rsid w:val="00756AC1"/>
    <w:rsid w:val="00760298"/>
    <w:rsid w:val="00764B55"/>
    <w:rsid w:val="00766058"/>
    <w:rsid w:val="00770D5E"/>
    <w:rsid w:val="007770F6"/>
    <w:rsid w:val="00790A6E"/>
    <w:rsid w:val="007A1838"/>
    <w:rsid w:val="007A3872"/>
    <w:rsid w:val="007A6939"/>
    <w:rsid w:val="007A77A9"/>
    <w:rsid w:val="007B7FBB"/>
    <w:rsid w:val="007C312D"/>
    <w:rsid w:val="007C46E4"/>
    <w:rsid w:val="007C5297"/>
    <w:rsid w:val="007C721C"/>
    <w:rsid w:val="007D15AA"/>
    <w:rsid w:val="007D2526"/>
    <w:rsid w:val="007D529A"/>
    <w:rsid w:val="007E18F8"/>
    <w:rsid w:val="007E434B"/>
    <w:rsid w:val="007F1544"/>
    <w:rsid w:val="007F1D37"/>
    <w:rsid w:val="007F31EA"/>
    <w:rsid w:val="007F63F7"/>
    <w:rsid w:val="008005F5"/>
    <w:rsid w:val="008006E3"/>
    <w:rsid w:val="008072B3"/>
    <w:rsid w:val="00807640"/>
    <w:rsid w:val="00812BCC"/>
    <w:rsid w:val="008212EA"/>
    <w:rsid w:val="00821C88"/>
    <w:rsid w:val="008277D2"/>
    <w:rsid w:val="00830DAF"/>
    <w:rsid w:val="008331E3"/>
    <w:rsid w:val="00833E63"/>
    <w:rsid w:val="008362AD"/>
    <w:rsid w:val="008437D0"/>
    <w:rsid w:val="00851DA1"/>
    <w:rsid w:val="008535C7"/>
    <w:rsid w:val="0085543E"/>
    <w:rsid w:val="00860CA9"/>
    <w:rsid w:val="00863DB4"/>
    <w:rsid w:val="00872F8C"/>
    <w:rsid w:val="008819E9"/>
    <w:rsid w:val="00893596"/>
    <w:rsid w:val="008974CE"/>
    <w:rsid w:val="008A12B6"/>
    <w:rsid w:val="008A4E95"/>
    <w:rsid w:val="008A7EB4"/>
    <w:rsid w:val="008B401F"/>
    <w:rsid w:val="008B4967"/>
    <w:rsid w:val="008B759F"/>
    <w:rsid w:val="008C2316"/>
    <w:rsid w:val="008C3389"/>
    <w:rsid w:val="008C35ED"/>
    <w:rsid w:val="008C40A6"/>
    <w:rsid w:val="008C4CB1"/>
    <w:rsid w:val="008C5DB0"/>
    <w:rsid w:val="008C761F"/>
    <w:rsid w:val="008D0E47"/>
    <w:rsid w:val="008D1652"/>
    <w:rsid w:val="008D1936"/>
    <w:rsid w:val="008D36D8"/>
    <w:rsid w:val="008D3D2C"/>
    <w:rsid w:val="008D5C56"/>
    <w:rsid w:val="008D70E2"/>
    <w:rsid w:val="008D766A"/>
    <w:rsid w:val="008E1FE3"/>
    <w:rsid w:val="008E3AC9"/>
    <w:rsid w:val="008E571B"/>
    <w:rsid w:val="008E580F"/>
    <w:rsid w:val="008E5BEF"/>
    <w:rsid w:val="008E7DE2"/>
    <w:rsid w:val="008F0A45"/>
    <w:rsid w:val="008F4FA5"/>
    <w:rsid w:val="008F6EC6"/>
    <w:rsid w:val="009019AF"/>
    <w:rsid w:val="00901EA6"/>
    <w:rsid w:val="00917F02"/>
    <w:rsid w:val="00922B00"/>
    <w:rsid w:val="0092747A"/>
    <w:rsid w:val="0093022A"/>
    <w:rsid w:val="00932B0E"/>
    <w:rsid w:val="00934CBD"/>
    <w:rsid w:val="00935051"/>
    <w:rsid w:val="0094166C"/>
    <w:rsid w:val="009418B3"/>
    <w:rsid w:val="00945A5E"/>
    <w:rsid w:val="00954CDC"/>
    <w:rsid w:val="009556CF"/>
    <w:rsid w:val="009575F2"/>
    <w:rsid w:val="00967307"/>
    <w:rsid w:val="00970102"/>
    <w:rsid w:val="00970A61"/>
    <w:rsid w:val="009727CE"/>
    <w:rsid w:val="009776E7"/>
    <w:rsid w:val="00980B23"/>
    <w:rsid w:val="009870B5"/>
    <w:rsid w:val="009916BF"/>
    <w:rsid w:val="009965BD"/>
    <w:rsid w:val="009A0922"/>
    <w:rsid w:val="009B1275"/>
    <w:rsid w:val="009B23C6"/>
    <w:rsid w:val="009C05F6"/>
    <w:rsid w:val="009D0845"/>
    <w:rsid w:val="009D3AA8"/>
    <w:rsid w:val="009D533A"/>
    <w:rsid w:val="009D5882"/>
    <w:rsid w:val="009D58AA"/>
    <w:rsid w:val="009D68A0"/>
    <w:rsid w:val="009D6D30"/>
    <w:rsid w:val="009E0429"/>
    <w:rsid w:val="009E669D"/>
    <w:rsid w:val="009E67AF"/>
    <w:rsid w:val="009F31BA"/>
    <w:rsid w:val="009F3DF8"/>
    <w:rsid w:val="009F6181"/>
    <w:rsid w:val="009F72D2"/>
    <w:rsid w:val="009F73FE"/>
    <w:rsid w:val="00A00AA8"/>
    <w:rsid w:val="00A0511A"/>
    <w:rsid w:val="00A0654E"/>
    <w:rsid w:val="00A07106"/>
    <w:rsid w:val="00A177DF"/>
    <w:rsid w:val="00A17E59"/>
    <w:rsid w:val="00A20333"/>
    <w:rsid w:val="00A21D02"/>
    <w:rsid w:val="00A23170"/>
    <w:rsid w:val="00A2607A"/>
    <w:rsid w:val="00A31031"/>
    <w:rsid w:val="00A32F8B"/>
    <w:rsid w:val="00A34164"/>
    <w:rsid w:val="00A41FA2"/>
    <w:rsid w:val="00A454DC"/>
    <w:rsid w:val="00A52033"/>
    <w:rsid w:val="00A5501D"/>
    <w:rsid w:val="00A55363"/>
    <w:rsid w:val="00A63542"/>
    <w:rsid w:val="00A64EDE"/>
    <w:rsid w:val="00A65879"/>
    <w:rsid w:val="00A67DF0"/>
    <w:rsid w:val="00A70F10"/>
    <w:rsid w:val="00A72B34"/>
    <w:rsid w:val="00A80AA5"/>
    <w:rsid w:val="00A81277"/>
    <w:rsid w:val="00A82F5F"/>
    <w:rsid w:val="00A854B0"/>
    <w:rsid w:val="00A8660E"/>
    <w:rsid w:val="00A91047"/>
    <w:rsid w:val="00A921EA"/>
    <w:rsid w:val="00A93BCC"/>
    <w:rsid w:val="00A944FA"/>
    <w:rsid w:val="00AA0D39"/>
    <w:rsid w:val="00AA2935"/>
    <w:rsid w:val="00AA4883"/>
    <w:rsid w:val="00AA4A96"/>
    <w:rsid w:val="00AA774C"/>
    <w:rsid w:val="00AB2C82"/>
    <w:rsid w:val="00AB6182"/>
    <w:rsid w:val="00AC1830"/>
    <w:rsid w:val="00AC1866"/>
    <w:rsid w:val="00AD3204"/>
    <w:rsid w:val="00AE0EE0"/>
    <w:rsid w:val="00AE2D67"/>
    <w:rsid w:val="00AF1B1D"/>
    <w:rsid w:val="00AF52EB"/>
    <w:rsid w:val="00AF776F"/>
    <w:rsid w:val="00B01587"/>
    <w:rsid w:val="00B03D68"/>
    <w:rsid w:val="00B04BC0"/>
    <w:rsid w:val="00B07872"/>
    <w:rsid w:val="00B1468C"/>
    <w:rsid w:val="00B16CB5"/>
    <w:rsid w:val="00B22337"/>
    <w:rsid w:val="00B26FB4"/>
    <w:rsid w:val="00B273D9"/>
    <w:rsid w:val="00B31B36"/>
    <w:rsid w:val="00B3507A"/>
    <w:rsid w:val="00B36DCB"/>
    <w:rsid w:val="00B417FD"/>
    <w:rsid w:val="00B41967"/>
    <w:rsid w:val="00B41D00"/>
    <w:rsid w:val="00B522C0"/>
    <w:rsid w:val="00B524EB"/>
    <w:rsid w:val="00B577A5"/>
    <w:rsid w:val="00B6053D"/>
    <w:rsid w:val="00B6057D"/>
    <w:rsid w:val="00B6209C"/>
    <w:rsid w:val="00B62D43"/>
    <w:rsid w:val="00B62DFB"/>
    <w:rsid w:val="00B657FB"/>
    <w:rsid w:val="00B66B83"/>
    <w:rsid w:val="00B70776"/>
    <w:rsid w:val="00B71CFB"/>
    <w:rsid w:val="00B7468E"/>
    <w:rsid w:val="00B80093"/>
    <w:rsid w:val="00B81DE6"/>
    <w:rsid w:val="00B82FA5"/>
    <w:rsid w:val="00B83BA0"/>
    <w:rsid w:val="00B863BB"/>
    <w:rsid w:val="00B914AC"/>
    <w:rsid w:val="00B933FA"/>
    <w:rsid w:val="00B937CD"/>
    <w:rsid w:val="00B94C55"/>
    <w:rsid w:val="00B956D3"/>
    <w:rsid w:val="00BA165A"/>
    <w:rsid w:val="00BA2137"/>
    <w:rsid w:val="00BA5A87"/>
    <w:rsid w:val="00BB1E40"/>
    <w:rsid w:val="00BC2C6F"/>
    <w:rsid w:val="00BC4A06"/>
    <w:rsid w:val="00BC5F37"/>
    <w:rsid w:val="00BC618E"/>
    <w:rsid w:val="00BC67E6"/>
    <w:rsid w:val="00BC6D33"/>
    <w:rsid w:val="00BD332B"/>
    <w:rsid w:val="00BD46D5"/>
    <w:rsid w:val="00BD64BD"/>
    <w:rsid w:val="00BD7027"/>
    <w:rsid w:val="00BD7558"/>
    <w:rsid w:val="00BE29F5"/>
    <w:rsid w:val="00BE3519"/>
    <w:rsid w:val="00BF5187"/>
    <w:rsid w:val="00BF583A"/>
    <w:rsid w:val="00BF6293"/>
    <w:rsid w:val="00C10F5C"/>
    <w:rsid w:val="00C130A2"/>
    <w:rsid w:val="00C15DAC"/>
    <w:rsid w:val="00C21834"/>
    <w:rsid w:val="00C26F59"/>
    <w:rsid w:val="00C30C7C"/>
    <w:rsid w:val="00C3397B"/>
    <w:rsid w:val="00C440C9"/>
    <w:rsid w:val="00C448F2"/>
    <w:rsid w:val="00C4669C"/>
    <w:rsid w:val="00C51A0A"/>
    <w:rsid w:val="00C53065"/>
    <w:rsid w:val="00C53955"/>
    <w:rsid w:val="00C5746E"/>
    <w:rsid w:val="00C6068E"/>
    <w:rsid w:val="00C61CAB"/>
    <w:rsid w:val="00C64377"/>
    <w:rsid w:val="00C6602E"/>
    <w:rsid w:val="00C67F03"/>
    <w:rsid w:val="00C73F5C"/>
    <w:rsid w:val="00C76F6E"/>
    <w:rsid w:val="00C82EEA"/>
    <w:rsid w:val="00C86699"/>
    <w:rsid w:val="00C86C60"/>
    <w:rsid w:val="00CA1EC1"/>
    <w:rsid w:val="00CA3B9C"/>
    <w:rsid w:val="00CA3EA0"/>
    <w:rsid w:val="00CA425B"/>
    <w:rsid w:val="00CA73EF"/>
    <w:rsid w:val="00CB791D"/>
    <w:rsid w:val="00CB79F6"/>
    <w:rsid w:val="00CC0234"/>
    <w:rsid w:val="00CC2F4E"/>
    <w:rsid w:val="00CC7BE8"/>
    <w:rsid w:val="00CD5BD5"/>
    <w:rsid w:val="00CE060E"/>
    <w:rsid w:val="00CE330D"/>
    <w:rsid w:val="00CE6899"/>
    <w:rsid w:val="00CE74D1"/>
    <w:rsid w:val="00CF3E48"/>
    <w:rsid w:val="00CF57A1"/>
    <w:rsid w:val="00CF723C"/>
    <w:rsid w:val="00D04C2A"/>
    <w:rsid w:val="00D052F8"/>
    <w:rsid w:val="00D25913"/>
    <w:rsid w:val="00D26CED"/>
    <w:rsid w:val="00D32458"/>
    <w:rsid w:val="00D3605C"/>
    <w:rsid w:val="00D42E25"/>
    <w:rsid w:val="00D43A5F"/>
    <w:rsid w:val="00D51FCA"/>
    <w:rsid w:val="00D52500"/>
    <w:rsid w:val="00D57466"/>
    <w:rsid w:val="00D61268"/>
    <w:rsid w:val="00D667A8"/>
    <w:rsid w:val="00D72DEA"/>
    <w:rsid w:val="00D802EA"/>
    <w:rsid w:val="00D84071"/>
    <w:rsid w:val="00D91FB5"/>
    <w:rsid w:val="00D94FEC"/>
    <w:rsid w:val="00D9728A"/>
    <w:rsid w:val="00D9764F"/>
    <w:rsid w:val="00DA5776"/>
    <w:rsid w:val="00DA5B8C"/>
    <w:rsid w:val="00DA6D0B"/>
    <w:rsid w:val="00DB0F8D"/>
    <w:rsid w:val="00DB3004"/>
    <w:rsid w:val="00DB30C3"/>
    <w:rsid w:val="00DB3641"/>
    <w:rsid w:val="00DB4007"/>
    <w:rsid w:val="00DB4C5F"/>
    <w:rsid w:val="00DB5B4F"/>
    <w:rsid w:val="00DD1F5F"/>
    <w:rsid w:val="00DD3FAA"/>
    <w:rsid w:val="00DD5E0A"/>
    <w:rsid w:val="00DE0536"/>
    <w:rsid w:val="00DE4101"/>
    <w:rsid w:val="00DE41AD"/>
    <w:rsid w:val="00DF06A1"/>
    <w:rsid w:val="00E0079B"/>
    <w:rsid w:val="00E100F5"/>
    <w:rsid w:val="00E109C6"/>
    <w:rsid w:val="00E11F37"/>
    <w:rsid w:val="00E121B6"/>
    <w:rsid w:val="00E1313B"/>
    <w:rsid w:val="00E14C23"/>
    <w:rsid w:val="00E16CCD"/>
    <w:rsid w:val="00E22E2A"/>
    <w:rsid w:val="00E244F3"/>
    <w:rsid w:val="00E273D9"/>
    <w:rsid w:val="00E30119"/>
    <w:rsid w:val="00E33219"/>
    <w:rsid w:val="00E40013"/>
    <w:rsid w:val="00E413FF"/>
    <w:rsid w:val="00E46168"/>
    <w:rsid w:val="00E466D7"/>
    <w:rsid w:val="00E46F8B"/>
    <w:rsid w:val="00E60006"/>
    <w:rsid w:val="00E71094"/>
    <w:rsid w:val="00E82685"/>
    <w:rsid w:val="00E827C3"/>
    <w:rsid w:val="00E8399D"/>
    <w:rsid w:val="00E87ACC"/>
    <w:rsid w:val="00E87C63"/>
    <w:rsid w:val="00E91782"/>
    <w:rsid w:val="00E940A4"/>
    <w:rsid w:val="00E95DDD"/>
    <w:rsid w:val="00E96342"/>
    <w:rsid w:val="00EA089C"/>
    <w:rsid w:val="00EA260E"/>
    <w:rsid w:val="00EA38A0"/>
    <w:rsid w:val="00EA7AEF"/>
    <w:rsid w:val="00EB4D4B"/>
    <w:rsid w:val="00EB5BCD"/>
    <w:rsid w:val="00EB678B"/>
    <w:rsid w:val="00EC02E7"/>
    <w:rsid w:val="00EC2621"/>
    <w:rsid w:val="00EC558A"/>
    <w:rsid w:val="00ED1020"/>
    <w:rsid w:val="00EE1D3E"/>
    <w:rsid w:val="00EE39C6"/>
    <w:rsid w:val="00EE5259"/>
    <w:rsid w:val="00EF3237"/>
    <w:rsid w:val="00EF422B"/>
    <w:rsid w:val="00EF713D"/>
    <w:rsid w:val="00F01A20"/>
    <w:rsid w:val="00F11289"/>
    <w:rsid w:val="00F12CFD"/>
    <w:rsid w:val="00F218BA"/>
    <w:rsid w:val="00F34EE3"/>
    <w:rsid w:val="00F45D26"/>
    <w:rsid w:val="00F5111A"/>
    <w:rsid w:val="00F55331"/>
    <w:rsid w:val="00F57301"/>
    <w:rsid w:val="00F57C75"/>
    <w:rsid w:val="00F64220"/>
    <w:rsid w:val="00F64B74"/>
    <w:rsid w:val="00F72A12"/>
    <w:rsid w:val="00F75EB9"/>
    <w:rsid w:val="00F76852"/>
    <w:rsid w:val="00F84FDE"/>
    <w:rsid w:val="00F93AD3"/>
    <w:rsid w:val="00FA0163"/>
    <w:rsid w:val="00FA3589"/>
    <w:rsid w:val="00FA50C2"/>
    <w:rsid w:val="00FA551D"/>
    <w:rsid w:val="00FA7AB7"/>
    <w:rsid w:val="00FB06B5"/>
    <w:rsid w:val="00FB14B7"/>
    <w:rsid w:val="00FB21A7"/>
    <w:rsid w:val="00FB2BA5"/>
    <w:rsid w:val="00FC0B0E"/>
    <w:rsid w:val="00FC0F49"/>
    <w:rsid w:val="00FC4202"/>
    <w:rsid w:val="00FC528F"/>
    <w:rsid w:val="00FC58F5"/>
    <w:rsid w:val="00FD07C6"/>
    <w:rsid w:val="00FD79BA"/>
    <w:rsid w:val="00FE34FF"/>
    <w:rsid w:val="00FE4015"/>
    <w:rsid w:val="00FF46F7"/>
    <w:rsid w:val="00FF60A8"/>
    <w:rsid w:val="00FF6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3FA7"/>
  <w15:chartTrackingRefBased/>
  <w15:docId w15:val="{9C38D0D2-F62F-F541-8ED2-6481A6B4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094"/>
    <w:pPr>
      <w:keepNext/>
      <w:keepLines/>
      <w:spacing w:before="240"/>
      <w:outlineLvl w:val="0"/>
    </w:pPr>
    <w:rPr>
      <w:rFonts w:eastAsiaTheme="majorEastAsia" w:cstheme="minorHAnsi"/>
      <w:b/>
      <w:bCs/>
      <w:color w:val="000000" w:themeColor="text1"/>
    </w:rPr>
  </w:style>
  <w:style w:type="paragraph" w:styleId="Heading2">
    <w:name w:val="heading 2"/>
    <w:basedOn w:val="Normal"/>
    <w:next w:val="Normal"/>
    <w:link w:val="Heading2Char"/>
    <w:uiPriority w:val="9"/>
    <w:unhideWhenUsed/>
    <w:qFormat/>
    <w:rsid w:val="00934C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4CB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34C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4CBD"/>
    <w:rPr>
      <w:sz w:val="20"/>
      <w:szCs w:val="20"/>
    </w:rPr>
  </w:style>
  <w:style w:type="character" w:customStyle="1" w:styleId="FootnoteTextChar">
    <w:name w:val="Footnote Text Char"/>
    <w:basedOn w:val="DefaultParagraphFont"/>
    <w:link w:val="FootnoteText"/>
    <w:uiPriority w:val="99"/>
    <w:semiHidden/>
    <w:rsid w:val="00934CBD"/>
    <w:rPr>
      <w:sz w:val="20"/>
      <w:szCs w:val="20"/>
    </w:rPr>
  </w:style>
  <w:style w:type="character" w:styleId="FootnoteReference">
    <w:name w:val="footnote reference"/>
    <w:basedOn w:val="DefaultParagraphFont"/>
    <w:uiPriority w:val="99"/>
    <w:semiHidden/>
    <w:unhideWhenUsed/>
    <w:rsid w:val="00934CBD"/>
    <w:rPr>
      <w:vertAlign w:val="superscript"/>
    </w:rPr>
  </w:style>
  <w:style w:type="character" w:customStyle="1" w:styleId="Heading2Char">
    <w:name w:val="Heading 2 Char"/>
    <w:basedOn w:val="DefaultParagraphFont"/>
    <w:link w:val="Heading2"/>
    <w:uiPriority w:val="9"/>
    <w:rsid w:val="00934C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4CB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934CBD"/>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E71094"/>
    <w:rPr>
      <w:rFonts w:eastAsiaTheme="majorEastAsia" w:cstheme="minorHAnsi"/>
      <w:b/>
      <w:bCs/>
      <w:color w:val="000000" w:themeColor="text1"/>
    </w:rPr>
  </w:style>
  <w:style w:type="paragraph" w:styleId="ListParagraph">
    <w:name w:val="List Paragraph"/>
    <w:basedOn w:val="Normal"/>
    <w:uiPriority w:val="34"/>
    <w:qFormat/>
    <w:rsid w:val="00A921EA"/>
    <w:pPr>
      <w:ind w:left="720"/>
      <w:contextualSpacing/>
    </w:pPr>
  </w:style>
  <w:style w:type="table" w:styleId="TableGrid">
    <w:name w:val="Table Grid"/>
    <w:basedOn w:val="TableNormal"/>
    <w:uiPriority w:val="39"/>
    <w:rsid w:val="005E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B9C"/>
    <w:rPr>
      <w:sz w:val="16"/>
      <w:szCs w:val="16"/>
    </w:rPr>
  </w:style>
  <w:style w:type="paragraph" w:styleId="CommentText">
    <w:name w:val="annotation text"/>
    <w:basedOn w:val="Normal"/>
    <w:link w:val="CommentTextChar"/>
    <w:uiPriority w:val="99"/>
    <w:semiHidden/>
    <w:unhideWhenUsed/>
    <w:rsid w:val="00004B9C"/>
    <w:rPr>
      <w:sz w:val="20"/>
      <w:szCs w:val="20"/>
    </w:rPr>
  </w:style>
  <w:style w:type="character" w:customStyle="1" w:styleId="CommentTextChar">
    <w:name w:val="Comment Text Char"/>
    <w:basedOn w:val="DefaultParagraphFont"/>
    <w:link w:val="CommentText"/>
    <w:uiPriority w:val="99"/>
    <w:semiHidden/>
    <w:rsid w:val="00004B9C"/>
    <w:rPr>
      <w:sz w:val="20"/>
      <w:szCs w:val="20"/>
    </w:rPr>
  </w:style>
  <w:style w:type="paragraph" w:styleId="CommentSubject">
    <w:name w:val="annotation subject"/>
    <w:basedOn w:val="CommentText"/>
    <w:next w:val="CommentText"/>
    <w:link w:val="CommentSubjectChar"/>
    <w:uiPriority w:val="99"/>
    <w:semiHidden/>
    <w:unhideWhenUsed/>
    <w:rsid w:val="00004B9C"/>
    <w:rPr>
      <w:b/>
      <w:bCs/>
    </w:rPr>
  </w:style>
  <w:style w:type="character" w:customStyle="1" w:styleId="CommentSubjectChar">
    <w:name w:val="Comment Subject Char"/>
    <w:basedOn w:val="CommentTextChar"/>
    <w:link w:val="CommentSubject"/>
    <w:uiPriority w:val="99"/>
    <w:semiHidden/>
    <w:rsid w:val="00004B9C"/>
    <w:rPr>
      <w:b/>
      <w:bCs/>
      <w:sz w:val="20"/>
      <w:szCs w:val="20"/>
    </w:rPr>
  </w:style>
  <w:style w:type="paragraph" w:styleId="BalloonText">
    <w:name w:val="Balloon Text"/>
    <w:basedOn w:val="Normal"/>
    <w:link w:val="BalloonTextChar"/>
    <w:uiPriority w:val="99"/>
    <w:semiHidden/>
    <w:unhideWhenUsed/>
    <w:rsid w:val="00004B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4B9C"/>
    <w:rPr>
      <w:rFonts w:ascii="Times New Roman" w:hAnsi="Times New Roman" w:cs="Times New Roman"/>
      <w:sz w:val="18"/>
      <w:szCs w:val="18"/>
    </w:rPr>
  </w:style>
  <w:style w:type="character" w:styleId="Hyperlink">
    <w:name w:val="Hyperlink"/>
    <w:basedOn w:val="DefaultParagraphFont"/>
    <w:uiPriority w:val="99"/>
    <w:unhideWhenUsed/>
    <w:rsid w:val="00D57466"/>
    <w:rPr>
      <w:color w:val="0563C1" w:themeColor="hyperlink"/>
      <w:u w:val="single"/>
    </w:rPr>
  </w:style>
  <w:style w:type="character" w:styleId="UnresolvedMention">
    <w:name w:val="Unresolved Mention"/>
    <w:basedOn w:val="DefaultParagraphFont"/>
    <w:uiPriority w:val="99"/>
    <w:semiHidden/>
    <w:unhideWhenUsed/>
    <w:rsid w:val="00D57466"/>
    <w:rPr>
      <w:color w:val="605E5C"/>
      <w:shd w:val="clear" w:color="auto" w:fill="E1DFDD"/>
    </w:rPr>
  </w:style>
  <w:style w:type="paragraph" w:styleId="Header">
    <w:name w:val="header"/>
    <w:basedOn w:val="Normal"/>
    <w:link w:val="HeaderChar"/>
    <w:uiPriority w:val="99"/>
    <w:unhideWhenUsed/>
    <w:rsid w:val="006D7FA3"/>
    <w:pPr>
      <w:tabs>
        <w:tab w:val="center" w:pos="4513"/>
        <w:tab w:val="right" w:pos="9026"/>
      </w:tabs>
    </w:pPr>
  </w:style>
  <w:style w:type="character" w:customStyle="1" w:styleId="HeaderChar">
    <w:name w:val="Header Char"/>
    <w:basedOn w:val="DefaultParagraphFont"/>
    <w:link w:val="Header"/>
    <w:uiPriority w:val="99"/>
    <w:rsid w:val="006D7FA3"/>
  </w:style>
  <w:style w:type="paragraph" w:styleId="Footer">
    <w:name w:val="footer"/>
    <w:basedOn w:val="Normal"/>
    <w:link w:val="FooterChar"/>
    <w:uiPriority w:val="99"/>
    <w:unhideWhenUsed/>
    <w:rsid w:val="006D7FA3"/>
    <w:pPr>
      <w:tabs>
        <w:tab w:val="center" w:pos="4513"/>
        <w:tab w:val="right" w:pos="9026"/>
      </w:tabs>
    </w:pPr>
  </w:style>
  <w:style w:type="character" w:customStyle="1" w:styleId="FooterChar">
    <w:name w:val="Footer Char"/>
    <w:basedOn w:val="DefaultParagraphFont"/>
    <w:link w:val="Footer"/>
    <w:uiPriority w:val="99"/>
    <w:rsid w:val="006D7FA3"/>
  </w:style>
  <w:style w:type="character" w:styleId="PageNumber">
    <w:name w:val="page number"/>
    <w:basedOn w:val="DefaultParagraphFont"/>
    <w:uiPriority w:val="99"/>
    <w:semiHidden/>
    <w:unhideWhenUsed/>
    <w:rsid w:val="00E71094"/>
  </w:style>
  <w:style w:type="paragraph" w:styleId="NormalWeb">
    <w:name w:val="Normal (Web)"/>
    <w:basedOn w:val="Normal"/>
    <w:uiPriority w:val="99"/>
    <w:unhideWhenUsed/>
    <w:rsid w:val="00543E3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D9728A"/>
    <w:rPr>
      <w:i/>
      <w:iCs/>
    </w:rPr>
  </w:style>
  <w:style w:type="character" w:styleId="FollowedHyperlink">
    <w:name w:val="FollowedHyperlink"/>
    <w:basedOn w:val="DefaultParagraphFont"/>
    <w:uiPriority w:val="99"/>
    <w:semiHidden/>
    <w:unhideWhenUsed/>
    <w:rsid w:val="002913E7"/>
    <w:rPr>
      <w:color w:val="954F72" w:themeColor="followedHyperlink"/>
      <w:u w:val="single"/>
    </w:rPr>
  </w:style>
  <w:style w:type="paragraph" w:styleId="NoSpacing">
    <w:name w:val="No Spacing"/>
    <w:uiPriority w:val="1"/>
    <w:qFormat/>
    <w:rsid w:val="00FF46F7"/>
  </w:style>
  <w:style w:type="paragraph" w:customStyle="1" w:styleId="References">
    <w:name w:val="References"/>
    <w:basedOn w:val="Normal"/>
    <w:qFormat/>
    <w:rsid w:val="008A12B6"/>
    <w:pPr>
      <w:spacing w:after="120"/>
      <w:ind w:left="284" w:hanging="284"/>
    </w:pPr>
  </w:style>
  <w:style w:type="paragraph" w:styleId="Revision">
    <w:name w:val="Revision"/>
    <w:hidden/>
    <w:uiPriority w:val="99"/>
    <w:semiHidden/>
    <w:rsid w:val="00CA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56555">
      <w:bodyDiv w:val="1"/>
      <w:marLeft w:val="0"/>
      <w:marRight w:val="0"/>
      <w:marTop w:val="0"/>
      <w:marBottom w:val="0"/>
      <w:divBdr>
        <w:top w:val="none" w:sz="0" w:space="0" w:color="auto"/>
        <w:left w:val="none" w:sz="0" w:space="0" w:color="auto"/>
        <w:bottom w:val="none" w:sz="0" w:space="0" w:color="auto"/>
        <w:right w:val="none" w:sz="0" w:space="0" w:color="auto"/>
      </w:divBdr>
    </w:div>
    <w:div w:id="905259887">
      <w:bodyDiv w:val="1"/>
      <w:marLeft w:val="0"/>
      <w:marRight w:val="0"/>
      <w:marTop w:val="0"/>
      <w:marBottom w:val="0"/>
      <w:divBdr>
        <w:top w:val="none" w:sz="0" w:space="0" w:color="auto"/>
        <w:left w:val="none" w:sz="0" w:space="0" w:color="auto"/>
        <w:bottom w:val="none" w:sz="0" w:space="0" w:color="auto"/>
        <w:right w:val="none" w:sz="0" w:space="0" w:color="auto"/>
      </w:divBdr>
    </w:div>
    <w:div w:id="1059743459">
      <w:bodyDiv w:val="1"/>
      <w:marLeft w:val="0"/>
      <w:marRight w:val="0"/>
      <w:marTop w:val="0"/>
      <w:marBottom w:val="0"/>
      <w:divBdr>
        <w:top w:val="none" w:sz="0" w:space="0" w:color="auto"/>
        <w:left w:val="none" w:sz="0" w:space="0" w:color="auto"/>
        <w:bottom w:val="none" w:sz="0" w:space="0" w:color="auto"/>
        <w:right w:val="none" w:sz="0" w:space="0" w:color="auto"/>
      </w:divBdr>
    </w:div>
    <w:div w:id="1255357815">
      <w:bodyDiv w:val="1"/>
      <w:marLeft w:val="0"/>
      <w:marRight w:val="0"/>
      <w:marTop w:val="0"/>
      <w:marBottom w:val="0"/>
      <w:divBdr>
        <w:top w:val="none" w:sz="0" w:space="0" w:color="auto"/>
        <w:left w:val="none" w:sz="0" w:space="0" w:color="auto"/>
        <w:bottom w:val="none" w:sz="0" w:space="0" w:color="auto"/>
        <w:right w:val="none" w:sz="0" w:space="0" w:color="auto"/>
      </w:divBdr>
      <w:divsChild>
        <w:div w:id="1753507425">
          <w:marLeft w:val="0"/>
          <w:marRight w:val="0"/>
          <w:marTop w:val="0"/>
          <w:marBottom w:val="0"/>
          <w:divBdr>
            <w:top w:val="none" w:sz="0" w:space="0" w:color="auto"/>
            <w:left w:val="none" w:sz="0" w:space="0" w:color="auto"/>
            <w:bottom w:val="none" w:sz="0" w:space="0" w:color="auto"/>
            <w:right w:val="none" w:sz="0" w:space="0" w:color="auto"/>
          </w:divBdr>
          <w:divsChild>
            <w:div w:id="104741481">
              <w:marLeft w:val="0"/>
              <w:marRight w:val="0"/>
              <w:marTop w:val="0"/>
              <w:marBottom w:val="0"/>
              <w:divBdr>
                <w:top w:val="none" w:sz="0" w:space="0" w:color="auto"/>
                <w:left w:val="none" w:sz="0" w:space="0" w:color="auto"/>
                <w:bottom w:val="none" w:sz="0" w:space="0" w:color="auto"/>
                <w:right w:val="none" w:sz="0" w:space="0" w:color="auto"/>
              </w:divBdr>
              <w:divsChild>
                <w:div w:id="9050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0419">
      <w:bodyDiv w:val="1"/>
      <w:marLeft w:val="0"/>
      <w:marRight w:val="0"/>
      <w:marTop w:val="0"/>
      <w:marBottom w:val="0"/>
      <w:divBdr>
        <w:top w:val="none" w:sz="0" w:space="0" w:color="auto"/>
        <w:left w:val="none" w:sz="0" w:space="0" w:color="auto"/>
        <w:bottom w:val="none" w:sz="0" w:space="0" w:color="auto"/>
        <w:right w:val="none" w:sz="0" w:space="0" w:color="auto"/>
      </w:divBdr>
      <w:divsChild>
        <w:div w:id="1213423468">
          <w:marLeft w:val="0"/>
          <w:marRight w:val="0"/>
          <w:marTop w:val="0"/>
          <w:marBottom w:val="0"/>
          <w:divBdr>
            <w:top w:val="none" w:sz="0" w:space="0" w:color="auto"/>
            <w:left w:val="none" w:sz="0" w:space="0" w:color="auto"/>
            <w:bottom w:val="none" w:sz="0" w:space="0" w:color="auto"/>
            <w:right w:val="none" w:sz="0" w:space="0" w:color="auto"/>
          </w:divBdr>
          <w:divsChild>
            <w:div w:id="212810654">
              <w:marLeft w:val="0"/>
              <w:marRight w:val="0"/>
              <w:marTop w:val="0"/>
              <w:marBottom w:val="0"/>
              <w:divBdr>
                <w:top w:val="none" w:sz="0" w:space="0" w:color="auto"/>
                <w:left w:val="none" w:sz="0" w:space="0" w:color="auto"/>
                <w:bottom w:val="none" w:sz="0" w:space="0" w:color="auto"/>
                <w:right w:val="none" w:sz="0" w:space="0" w:color="auto"/>
              </w:divBdr>
              <w:divsChild>
                <w:div w:id="11128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2595">
      <w:bodyDiv w:val="1"/>
      <w:marLeft w:val="0"/>
      <w:marRight w:val="0"/>
      <w:marTop w:val="0"/>
      <w:marBottom w:val="0"/>
      <w:divBdr>
        <w:top w:val="none" w:sz="0" w:space="0" w:color="auto"/>
        <w:left w:val="none" w:sz="0" w:space="0" w:color="auto"/>
        <w:bottom w:val="none" w:sz="0" w:space="0" w:color="auto"/>
        <w:right w:val="none" w:sz="0" w:space="0" w:color="auto"/>
      </w:divBdr>
      <w:divsChild>
        <w:div w:id="535388940">
          <w:marLeft w:val="0"/>
          <w:marRight w:val="0"/>
          <w:marTop w:val="0"/>
          <w:marBottom w:val="0"/>
          <w:divBdr>
            <w:top w:val="none" w:sz="0" w:space="0" w:color="auto"/>
            <w:left w:val="none" w:sz="0" w:space="0" w:color="auto"/>
            <w:bottom w:val="none" w:sz="0" w:space="0" w:color="auto"/>
            <w:right w:val="none" w:sz="0" w:space="0" w:color="auto"/>
          </w:divBdr>
          <w:divsChild>
            <w:div w:id="1290092913">
              <w:marLeft w:val="0"/>
              <w:marRight w:val="0"/>
              <w:marTop w:val="0"/>
              <w:marBottom w:val="0"/>
              <w:divBdr>
                <w:top w:val="none" w:sz="0" w:space="0" w:color="auto"/>
                <w:left w:val="none" w:sz="0" w:space="0" w:color="auto"/>
                <w:bottom w:val="none" w:sz="0" w:space="0" w:color="auto"/>
                <w:right w:val="none" w:sz="0" w:space="0" w:color="auto"/>
              </w:divBdr>
              <w:divsChild>
                <w:div w:id="1170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93/poq/nfp0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i.org/10.1016/S2468-2667(20)300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1AD2-CC57-4139-A8EA-9AF9F453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Cohen</dc:creator>
  <cp:keywords/>
  <dc:description/>
  <cp:lastModifiedBy>Stephen Cohen</cp:lastModifiedBy>
  <cp:revision>38</cp:revision>
  <cp:lastPrinted>2020-08-10T09:39:00Z</cp:lastPrinted>
  <dcterms:created xsi:type="dcterms:W3CDTF">2020-08-10T11:53:00Z</dcterms:created>
  <dcterms:modified xsi:type="dcterms:W3CDTF">2020-08-10T12:47:00Z</dcterms:modified>
</cp:coreProperties>
</file>