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C75CC" w14:textId="10F503BA" w:rsidR="009E5511" w:rsidRPr="00FE47F3" w:rsidRDefault="009E5511">
      <w:pPr>
        <w:rPr>
          <w:rFonts w:ascii="Arial" w:hAnsi="Arial" w:cs="Arial"/>
          <w:b/>
          <w:bCs/>
          <w:sz w:val="24"/>
          <w:szCs w:val="24"/>
        </w:rPr>
      </w:pPr>
      <w:r w:rsidRPr="00FE47F3">
        <w:rPr>
          <w:rFonts w:ascii="Arial" w:hAnsi="Arial" w:cs="Arial"/>
          <w:b/>
          <w:bCs/>
          <w:sz w:val="24"/>
          <w:szCs w:val="24"/>
        </w:rPr>
        <w:t xml:space="preserve">Paper prepared by Helen Moore, Jen Farnall and Jo Taylor (Office for National Statistics) </w:t>
      </w:r>
      <w:r w:rsidR="00FE47F3" w:rsidRPr="00FE47F3">
        <w:rPr>
          <w:rFonts w:ascii="Arial" w:hAnsi="Arial" w:cs="Arial"/>
          <w:b/>
          <w:bCs/>
          <w:sz w:val="24"/>
          <w:szCs w:val="24"/>
        </w:rPr>
        <w:t>30</w:t>
      </w:r>
      <w:r w:rsidRPr="00FE47F3">
        <w:rPr>
          <w:rFonts w:ascii="Arial" w:hAnsi="Arial" w:cs="Arial"/>
          <w:b/>
          <w:bCs/>
          <w:sz w:val="24"/>
          <w:szCs w:val="24"/>
        </w:rPr>
        <w:t xml:space="preserve">th </w:t>
      </w:r>
      <w:r w:rsidR="00FE47F3" w:rsidRPr="00FE47F3">
        <w:rPr>
          <w:rFonts w:ascii="Arial" w:hAnsi="Arial" w:cs="Arial"/>
          <w:b/>
          <w:bCs/>
          <w:sz w:val="24"/>
          <w:szCs w:val="24"/>
        </w:rPr>
        <w:t>International</w:t>
      </w:r>
      <w:r w:rsidRPr="00FE47F3">
        <w:rPr>
          <w:rFonts w:ascii="Arial" w:hAnsi="Arial" w:cs="Arial"/>
          <w:b/>
          <w:bCs/>
          <w:sz w:val="24"/>
          <w:szCs w:val="24"/>
        </w:rPr>
        <w:t xml:space="preserve"> Workshop on Household Survey Nonresponse, 25-2</w:t>
      </w:r>
      <w:r w:rsidR="00FE47F3" w:rsidRPr="00FE47F3">
        <w:rPr>
          <w:rFonts w:ascii="Arial" w:hAnsi="Arial" w:cs="Arial"/>
          <w:b/>
          <w:bCs/>
          <w:sz w:val="24"/>
          <w:szCs w:val="24"/>
        </w:rPr>
        <w:t>8</w:t>
      </w:r>
      <w:r w:rsidRPr="00FE47F3">
        <w:rPr>
          <w:rFonts w:ascii="Arial" w:hAnsi="Arial" w:cs="Arial"/>
          <w:b/>
          <w:bCs/>
          <w:sz w:val="24"/>
          <w:szCs w:val="24"/>
          <w:vertAlign w:val="superscript"/>
        </w:rPr>
        <w:t>th</w:t>
      </w:r>
      <w:r w:rsidRPr="00FE47F3">
        <w:rPr>
          <w:rFonts w:ascii="Arial" w:hAnsi="Arial" w:cs="Arial"/>
          <w:b/>
          <w:bCs/>
          <w:sz w:val="24"/>
          <w:szCs w:val="24"/>
        </w:rPr>
        <w:t xml:space="preserve"> August 2020.</w:t>
      </w:r>
    </w:p>
    <w:p w14:paraId="704B337C" w14:textId="3163928D" w:rsidR="00FE47F3" w:rsidRPr="00FE47F3" w:rsidRDefault="00FE47F3" w:rsidP="00FE47F3">
      <w:pPr>
        <w:pStyle w:val="Boardheading"/>
        <w:rPr>
          <w:sz w:val="24"/>
          <w:szCs w:val="24"/>
        </w:rPr>
      </w:pPr>
      <w:r w:rsidRPr="00FE47F3">
        <w:rPr>
          <w:sz w:val="24"/>
          <w:szCs w:val="24"/>
        </w:rPr>
        <w:t>A Response Rate Strategy for the UK Office for National Statistics</w:t>
      </w:r>
    </w:p>
    <w:p w14:paraId="4199C100" w14:textId="229CB151" w:rsidR="00FE47F3" w:rsidRPr="00FE47F3" w:rsidRDefault="00FE47F3" w:rsidP="00FE47F3">
      <w:pPr>
        <w:pStyle w:val="Boardheading"/>
      </w:pPr>
      <w:r w:rsidRPr="00FE47F3">
        <w:t>Background</w:t>
      </w:r>
    </w:p>
    <w:p w14:paraId="19D0221F" w14:textId="7FF8EA72" w:rsidR="004C17E8" w:rsidRDefault="00C52A6F" w:rsidP="00930ADD">
      <w:pPr>
        <w:pStyle w:val="Boardparagraph"/>
        <w:numPr>
          <w:ilvl w:val="0"/>
          <w:numId w:val="23"/>
        </w:numPr>
      </w:pPr>
      <w:r>
        <w:t xml:space="preserve">Outputs from household surveys conducted by the Office for National Statistics (ONS) </w:t>
      </w:r>
      <w:r w:rsidRPr="00C52A6F">
        <w:t xml:space="preserve">underpin core </w:t>
      </w:r>
      <w:r>
        <w:t xml:space="preserve">UK </w:t>
      </w:r>
      <w:r w:rsidRPr="00C52A6F">
        <w:t>National Statistics and the wider statistical system.</w:t>
      </w:r>
      <w:r>
        <w:t xml:space="preserve"> </w:t>
      </w:r>
      <w:r w:rsidR="004C17E8">
        <w:t>ONS’s vision is to transform its data collection by using new technologies and non-survey data to improve quality</w:t>
      </w:r>
      <w:r w:rsidR="00D860C6">
        <w:t>,</w:t>
      </w:r>
      <w:r w:rsidR="004C17E8">
        <w:t xml:space="preserve"> efficiency</w:t>
      </w:r>
      <w:r w:rsidR="00D860C6">
        <w:t xml:space="preserve"> and better meet user needs</w:t>
      </w:r>
      <w:r w:rsidR="004C17E8">
        <w:t xml:space="preserve">. </w:t>
      </w:r>
    </w:p>
    <w:p w14:paraId="486B76B6" w14:textId="6FB4162A" w:rsidR="00C52A6F" w:rsidRPr="00C52A6F" w:rsidRDefault="004C17E8" w:rsidP="00930ADD">
      <w:pPr>
        <w:pStyle w:val="Boardparagraph"/>
        <w:numPr>
          <w:ilvl w:val="0"/>
          <w:numId w:val="23"/>
        </w:numPr>
      </w:pPr>
      <w:r>
        <w:t>Household surveys will continue to play an important part in th</w:t>
      </w:r>
      <w:r w:rsidR="006F7A45">
        <w:t>e</w:t>
      </w:r>
      <w:r>
        <w:t xml:space="preserve"> </w:t>
      </w:r>
      <w:r w:rsidR="00B9440F">
        <w:t xml:space="preserve">current and </w:t>
      </w:r>
      <w:r>
        <w:t>future</w:t>
      </w:r>
      <w:r w:rsidRPr="00C52A6F">
        <w:t xml:space="preserve"> </w:t>
      </w:r>
      <w:r>
        <w:t xml:space="preserve">data collection landscape. </w:t>
      </w:r>
      <w:r w:rsidR="00C52A6F" w:rsidRPr="00C52A6F">
        <w:t xml:space="preserve">Response rate continues to be the single value </w:t>
      </w:r>
      <w:r>
        <w:t xml:space="preserve">most </w:t>
      </w:r>
      <w:r w:rsidR="00C52A6F" w:rsidRPr="00C52A6F">
        <w:t xml:space="preserve">often used to measure </w:t>
      </w:r>
      <w:r w:rsidR="00C52A6F">
        <w:t>their</w:t>
      </w:r>
      <w:r w:rsidR="00C52A6F" w:rsidRPr="00C52A6F">
        <w:t xml:space="preserve"> success</w:t>
      </w:r>
      <w:r w:rsidR="0058554B">
        <w:t xml:space="preserve">, with </w:t>
      </w:r>
      <w:r w:rsidR="00C52A6F" w:rsidRPr="00C52A6F">
        <w:t xml:space="preserve">users of survey outputs </w:t>
      </w:r>
      <w:r w:rsidR="0058554B">
        <w:t xml:space="preserve">associating response rates with </w:t>
      </w:r>
      <w:r w:rsidR="00C52A6F" w:rsidRPr="00C52A6F">
        <w:t xml:space="preserve">the confidence they have in the data. There is a long-running general downward trend in social survey response rates for the ONS and other UK and international survey organisations. </w:t>
      </w:r>
    </w:p>
    <w:p w14:paraId="377300CC" w14:textId="4802ADFE" w:rsidR="006F7A45" w:rsidRDefault="00FE47F3" w:rsidP="00787B2D">
      <w:pPr>
        <w:pStyle w:val="Boardparagraph"/>
        <w:numPr>
          <w:ilvl w:val="0"/>
          <w:numId w:val="23"/>
        </w:numPr>
      </w:pPr>
      <w:r w:rsidRPr="00FE47F3">
        <w:t>The</w:t>
      </w:r>
      <w:r>
        <w:t xml:space="preserve"> ONS</w:t>
      </w:r>
      <w:r w:rsidRPr="00FE47F3">
        <w:t xml:space="preserve"> Social Survey Response Rate Strategy was developed in 2018 </w:t>
      </w:r>
      <w:r w:rsidR="0058554B" w:rsidRPr="00C52A6F">
        <w:t>to deliver performance and quality improvements</w:t>
      </w:r>
      <w:r w:rsidR="0058554B" w:rsidRPr="00FE47F3">
        <w:t xml:space="preserve"> </w:t>
      </w:r>
      <w:r w:rsidR="0058554B">
        <w:t xml:space="preserve">to address the </w:t>
      </w:r>
      <w:r w:rsidRPr="00FE47F3">
        <w:t xml:space="preserve">concerns of </w:t>
      </w:r>
      <w:r>
        <w:t xml:space="preserve">ONS’s National Statistics Executive Group (NSEG) </w:t>
      </w:r>
      <w:r w:rsidR="00367EAE">
        <w:t xml:space="preserve">and its key stakeholders </w:t>
      </w:r>
      <w:r w:rsidRPr="00FE47F3">
        <w:t>about response rates</w:t>
      </w:r>
      <w:r w:rsidR="00B9440F">
        <w:t xml:space="preserve">, particularly in relation to the largest ONS household study, </w:t>
      </w:r>
      <w:r w:rsidR="00B9440F" w:rsidRPr="00FE47F3">
        <w:t>the L</w:t>
      </w:r>
      <w:r w:rsidR="00B9440F">
        <w:t xml:space="preserve">abour </w:t>
      </w:r>
      <w:r w:rsidR="00B9440F" w:rsidRPr="00FE47F3">
        <w:t>F</w:t>
      </w:r>
      <w:r w:rsidR="00B9440F">
        <w:t xml:space="preserve">orce </w:t>
      </w:r>
      <w:r w:rsidR="00B9440F" w:rsidRPr="00FE47F3">
        <w:t>S</w:t>
      </w:r>
      <w:r w:rsidR="00B9440F">
        <w:t>urvey (LFS)</w:t>
      </w:r>
      <w:r w:rsidR="00367EAE">
        <w:t xml:space="preserve">. </w:t>
      </w:r>
      <w:r w:rsidR="006F7A45">
        <w:t xml:space="preserve">It brought together existing initiatives, maturing activities, continuous improvement and transformation priorities. It covered </w:t>
      </w:r>
      <w:r w:rsidR="006F7A45" w:rsidRPr="00FE47F3">
        <w:t>the period April 2018 to March 2021</w:t>
      </w:r>
      <w:r w:rsidR="006F7A45">
        <w:t xml:space="preserve">, with </w:t>
      </w:r>
      <w:r w:rsidR="006F7A45" w:rsidRPr="00FE47F3">
        <w:t xml:space="preserve">longer term activities </w:t>
      </w:r>
      <w:r w:rsidR="006F7A45">
        <w:t xml:space="preserve">associated with the transition to transformed household surveys </w:t>
      </w:r>
      <w:r w:rsidR="006F7A45" w:rsidRPr="00FE47F3">
        <w:t>extend</w:t>
      </w:r>
      <w:r w:rsidR="006F7A45">
        <w:t>ing</w:t>
      </w:r>
      <w:r w:rsidR="006F7A45" w:rsidRPr="00402B40">
        <w:t xml:space="preserve"> to March </w:t>
      </w:r>
      <w:r w:rsidR="006F7A45" w:rsidRPr="00F829E6">
        <w:t>2024.</w:t>
      </w:r>
    </w:p>
    <w:p w14:paraId="77935B22" w14:textId="7F482174" w:rsidR="00367EAE" w:rsidRDefault="00A6455F" w:rsidP="00787B2D">
      <w:pPr>
        <w:pStyle w:val="Boardparagraph"/>
        <w:numPr>
          <w:ilvl w:val="0"/>
          <w:numId w:val="23"/>
        </w:numPr>
      </w:pPr>
      <w:r>
        <w:t>T</w:t>
      </w:r>
      <w:r w:rsidR="00B96346">
        <w:t>he strategy</w:t>
      </w:r>
      <w:r w:rsidR="00367EAE">
        <w:t xml:space="preserve"> recognised that</w:t>
      </w:r>
      <w:r w:rsidR="006F7A45">
        <w:t xml:space="preserve">, to achieve success in the present environment, </w:t>
      </w:r>
      <w:r w:rsidR="00367EAE">
        <w:t xml:space="preserve">a </w:t>
      </w:r>
      <w:r w:rsidR="006F7A45">
        <w:t xml:space="preserve">more </w:t>
      </w:r>
      <w:r w:rsidR="00367EAE">
        <w:t xml:space="preserve">holistic approach </w:t>
      </w:r>
      <w:r w:rsidR="006F7A45">
        <w:t>needed to be adopted than had previously been the case</w:t>
      </w:r>
      <w:r w:rsidR="00367EAE">
        <w:t xml:space="preserve">. ONS has a large field interviewing community of over 1,000 permanently employed staff. </w:t>
      </w:r>
      <w:r w:rsidR="004C17E8">
        <w:t xml:space="preserve">The respondent environment for conducting household surveys </w:t>
      </w:r>
      <w:r w:rsidR="006F7A45">
        <w:t>is</w:t>
      </w:r>
      <w:r w:rsidR="004C17E8">
        <w:t xml:space="preserve"> becoming increasingly difficult. </w:t>
      </w:r>
      <w:r w:rsidR="006F7A45">
        <w:t>We are</w:t>
      </w:r>
      <w:r w:rsidR="00367EAE">
        <w:t xml:space="preserve"> part</w:t>
      </w:r>
      <w:r w:rsidR="00B9440F">
        <w:t>-</w:t>
      </w:r>
      <w:r w:rsidR="00367EAE">
        <w:t xml:space="preserve">way through a transformation programme that aims to </w:t>
      </w:r>
      <w:r w:rsidR="004C17E8">
        <w:t xml:space="preserve">introduce online and mixed-mode </w:t>
      </w:r>
      <w:proofErr w:type="gramStart"/>
      <w:r w:rsidR="004C17E8">
        <w:t>surveys</w:t>
      </w:r>
      <w:proofErr w:type="gramEnd"/>
      <w:r w:rsidR="006F7A45">
        <w:t xml:space="preserve"> </w:t>
      </w:r>
      <w:r w:rsidR="008C6D1E">
        <w:t>and which bring</w:t>
      </w:r>
      <w:r w:rsidR="006F7A45">
        <w:t>s</w:t>
      </w:r>
      <w:r w:rsidR="008C6D1E">
        <w:t xml:space="preserve"> with it new technologies and </w:t>
      </w:r>
      <w:r w:rsidR="006F7A45">
        <w:t xml:space="preserve">major </w:t>
      </w:r>
      <w:r w:rsidR="008C6D1E">
        <w:t>changes to working practices.</w:t>
      </w:r>
      <w:r w:rsidR="00367EAE">
        <w:t xml:space="preserve">  </w:t>
      </w:r>
    </w:p>
    <w:p w14:paraId="3CF0D1C4" w14:textId="4B291267" w:rsidR="00A6455F" w:rsidRPr="006F7A45" w:rsidRDefault="006F7A45" w:rsidP="001D2C31">
      <w:pPr>
        <w:pStyle w:val="Boardparagraph"/>
        <w:numPr>
          <w:ilvl w:val="0"/>
          <w:numId w:val="23"/>
        </w:numPr>
        <w:spacing w:before="120"/>
      </w:pPr>
      <w:r w:rsidRPr="006F7A45">
        <w:t xml:space="preserve">The strategy therefore aims to develop a </w:t>
      </w:r>
      <w:r w:rsidR="00C267B7" w:rsidRPr="006F7A45">
        <w:t xml:space="preserve">survey operation of the highest capability </w:t>
      </w:r>
      <w:r w:rsidRPr="006F7A45">
        <w:t xml:space="preserve">which </w:t>
      </w:r>
      <w:r w:rsidR="00C267B7" w:rsidRPr="006F7A45">
        <w:t>will deliver the results we need in an increasingly tough respondent environment</w:t>
      </w:r>
      <w:r>
        <w:t>. It aims to do this</w:t>
      </w:r>
      <w:r w:rsidRPr="006F7A45">
        <w:t xml:space="preserve"> while </w:t>
      </w:r>
      <w:r>
        <w:t xml:space="preserve">we </w:t>
      </w:r>
      <w:r w:rsidRPr="006F7A45">
        <w:t xml:space="preserve">work towards a data collection transformation which will </w:t>
      </w:r>
      <w:r w:rsidR="00C267B7" w:rsidRPr="006F7A45">
        <w:t>increase the efficiency of our surveys and exploit non-survey data</w:t>
      </w:r>
      <w:r w:rsidRPr="006F7A45">
        <w:t>.</w:t>
      </w:r>
      <w:r w:rsidR="00C267B7" w:rsidRPr="006F7A45">
        <w:t xml:space="preserve"> </w:t>
      </w:r>
    </w:p>
    <w:p w14:paraId="72734F14" w14:textId="770606EB" w:rsidR="00A6455F" w:rsidRPr="00F829E6" w:rsidRDefault="00A6455F" w:rsidP="00A6455F">
      <w:pPr>
        <w:pStyle w:val="Boardheading"/>
      </w:pPr>
      <w:r>
        <w:t>Strategy Elements</w:t>
      </w:r>
    </w:p>
    <w:p w14:paraId="75C1B0E3" w14:textId="5FD52951" w:rsidR="00A0048E" w:rsidRPr="00A0048E" w:rsidRDefault="00A0048E" w:rsidP="00A6455F">
      <w:pPr>
        <w:pStyle w:val="Boardparagraph"/>
        <w:rPr>
          <w:i/>
          <w:iCs/>
        </w:rPr>
      </w:pPr>
      <w:r>
        <w:t>T</w:t>
      </w:r>
      <w:r w:rsidRPr="00402B40">
        <w:t xml:space="preserve">he </w:t>
      </w:r>
      <w:r>
        <w:t xml:space="preserve">ONS </w:t>
      </w:r>
      <w:r w:rsidRPr="00402B40">
        <w:t xml:space="preserve">Social Survey Response Rate Strategy has three strands: Building </w:t>
      </w:r>
      <w:r>
        <w:t xml:space="preserve">Field </w:t>
      </w:r>
      <w:r w:rsidRPr="00402B40">
        <w:t>Capability; Engaging Respondents; and Transform</w:t>
      </w:r>
      <w:r>
        <w:t>ing Survey Design</w:t>
      </w:r>
      <w:r w:rsidRPr="00402B40">
        <w:t>. The</w:t>
      </w:r>
      <w:r>
        <w:t xml:space="preserve"> early</w:t>
      </w:r>
      <w:r w:rsidRPr="00402B40">
        <w:t xml:space="preserve"> focus </w:t>
      </w:r>
      <w:r>
        <w:t>w</w:t>
      </w:r>
      <w:r w:rsidRPr="00402B40">
        <w:t xml:space="preserve">as mainly on Building </w:t>
      </w:r>
      <w:r>
        <w:t xml:space="preserve">Field </w:t>
      </w:r>
      <w:r w:rsidRPr="00402B40">
        <w:t>Capability and Engaging Respondents</w:t>
      </w:r>
      <w:r>
        <w:t xml:space="preserve"> and</w:t>
      </w:r>
      <w:r w:rsidRPr="00402B40">
        <w:t xml:space="preserve"> was expected to shift towards Transform</w:t>
      </w:r>
      <w:r>
        <w:t>ing Survey Design</w:t>
      </w:r>
      <w:r w:rsidRPr="00402B40">
        <w:t xml:space="preserve"> during strategy</w:t>
      </w:r>
      <w:r w:rsidR="008C215B">
        <w:t xml:space="preserve">’s </w:t>
      </w:r>
      <w:r w:rsidR="008C215B" w:rsidRPr="00402B40">
        <w:t xml:space="preserve">lifetime </w:t>
      </w:r>
      <w:r w:rsidRPr="00402B40">
        <w:t>as transformation projects develop</w:t>
      </w:r>
      <w:r>
        <w:t>ed</w:t>
      </w:r>
      <w:r w:rsidRPr="00402B40">
        <w:t>.</w:t>
      </w:r>
    </w:p>
    <w:p w14:paraId="3BBB0105" w14:textId="4F439A5A" w:rsidR="00A6455F" w:rsidRPr="00A6455F" w:rsidRDefault="00A6455F" w:rsidP="00A6455F">
      <w:pPr>
        <w:pStyle w:val="Boardparagraph"/>
        <w:rPr>
          <w:i/>
          <w:iCs/>
        </w:rPr>
      </w:pPr>
      <w:r>
        <w:t>Building Field Capability</w:t>
      </w:r>
      <w:r w:rsidR="00A0048E">
        <w:t xml:space="preserve"> – a package of projects </w:t>
      </w:r>
      <w:r w:rsidR="00763EED">
        <w:t>to improve the capability and engagement of the interviewing workforce. This includes initiatives to improve day</w:t>
      </w:r>
      <w:r w:rsidR="008C215B">
        <w:t>-</w:t>
      </w:r>
      <w:r w:rsidR="00763EED">
        <w:t>to</w:t>
      </w:r>
      <w:r w:rsidR="008C215B">
        <w:t>-</w:t>
      </w:r>
      <w:r w:rsidR="00763EED">
        <w:t xml:space="preserve">day operations </w:t>
      </w:r>
      <w:r w:rsidR="009138B4">
        <w:t xml:space="preserve">and to foster an inclusive culture in which interviewers achieve better results because they understand how they contribute to the wider picture and play a part in </w:t>
      </w:r>
      <w:r w:rsidR="008C215B">
        <w:t>improv</w:t>
      </w:r>
      <w:r w:rsidR="009138B4">
        <w:t>ing how we work</w:t>
      </w:r>
      <w:r w:rsidR="00763EED">
        <w:t xml:space="preserve">. </w:t>
      </w:r>
    </w:p>
    <w:p w14:paraId="1F5B7CD6" w14:textId="0CA1EB71" w:rsidR="00A6455F" w:rsidRPr="00A6455F" w:rsidRDefault="00A6455F" w:rsidP="00A6455F">
      <w:pPr>
        <w:pStyle w:val="Boardparagraph"/>
        <w:rPr>
          <w:i/>
          <w:iCs/>
        </w:rPr>
      </w:pPr>
      <w:r>
        <w:t>Optimising Respondent Engagement</w:t>
      </w:r>
      <w:r w:rsidR="00A0048E">
        <w:t xml:space="preserve"> – a package of projects </w:t>
      </w:r>
      <w:r w:rsidR="00763EED">
        <w:t xml:space="preserve">to improve citizen awareness of </w:t>
      </w:r>
      <w:r w:rsidR="009138B4">
        <w:t xml:space="preserve">and trust in </w:t>
      </w:r>
      <w:r w:rsidR="00763EED">
        <w:t>ONS</w:t>
      </w:r>
      <w:r w:rsidR="009138B4">
        <w:t xml:space="preserve"> and motivation to take part in surveys. This </w:t>
      </w:r>
      <w:r w:rsidR="00763EED">
        <w:t>includ</w:t>
      </w:r>
      <w:r w:rsidR="009138B4">
        <w:t>es</w:t>
      </w:r>
      <w:r w:rsidR="00763EED">
        <w:t xml:space="preserve"> </w:t>
      </w:r>
      <w:r w:rsidR="00E72E53">
        <w:t xml:space="preserve">improvements to </w:t>
      </w:r>
      <w:r w:rsidR="008C215B">
        <w:t>materials</w:t>
      </w:r>
      <w:r w:rsidR="00E72E53">
        <w:t xml:space="preserve"> and incentives and </w:t>
      </w:r>
      <w:r w:rsidR="005E6349">
        <w:t xml:space="preserve">leveraging </w:t>
      </w:r>
      <w:r w:rsidR="002C31DA">
        <w:t xml:space="preserve">marketing </w:t>
      </w:r>
      <w:r w:rsidR="005E6349">
        <w:t>and publicity efforts for</w:t>
      </w:r>
      <w:r w:rsidR="002C31DA">
        <w:t xml:space="preserve"> the 2021 </w:t>
      </w:r>
      <w:r w:rsidR="008C215B">
        <w:t>c</w:t>
      </w:r>
      <w:r w:rsidR="002C31DA">
        <w:t xml:space="preserve">ensus. </w:t>
      </w:r>
    </w:p>
    <w:p w14:paraId="5D0FE923" w14:textId="49D9B132" w:rsidR="00A6455F" w:rsidRPr="00A6455F" w:rsidRDefault="00A6455F" w:rsidP="00A6455F">
      <w:pPr>
        <w:pStyle w:val="Boardparagraph"/>
        <w:rPr>
          <w:i/>
          <w:iCs/>
        </w:rPr>
      </w:pPr>
      <w:r>
        <w:t>Transforming Survey Design</w:t>
      </w:r>
      <w:r w:rsidR="00A0048E">
        <w:t xml:space="preserve"> – a package of projects </w:t>
      </w:r>
      <w:r w:rsidR="00E72E53">
        <w:t>to increase the efficiency of our surveys by increasing online data collection and transforming systems and processes. This package of work also originally encompassed the exploration of the</w:t>
      </w:r>
      <w:r w:rsidR="002C31DA">
        <w:t xml:space="preserve"> </w:t>
      </w:r>
      <w:r w:rsidR="00E72E53">
        <w:t xml:space="preserve">use of non-survey data. </w:t>
      </w:r>
    </w:p>
    <w:p w14:paraId="4762BD57" w14:textId="44EFF9E8" w:rsidR="00A0048E" w:rsidRDefault="00A0048E" w:rsidP="00B96346">
      <w:pPr>
        <w:pStyle w:val="Boardheading"/>
      </w:pPr>
      <w:r>
        <w:t>Strategy Achievements</w:t>
      </w:r>
    </w:p>
    <w:p w14:paraId="1E9003C1" w14:textId="45B65BC4" w:rsidR="00A0048E" w:rsidRPr="00402B40" w:rsidRDefault="00A0048E" w:rsidP="00A0048E">
      <w:pPr>
        <w:pStyle w:val="Boardparagraph"/>
      </w:pPr>
      <w:r w:rsidRPr="00402B40">
        <w:t>Highlights from 2019/20 included:</w:t>
      </w:r>
    </w:p>
    <w:p w14:paraId="15ECD623" w14:textId="2D460FD6" w:rsidR="00A0048E" w:rsidRPr="00D510F4" w:rsidRDefault="00A0048E" w:rsidP="002F2061">
      <w:pPr>
        <w:pStyle w:val="Boardparagraph"/>
        <w:numPr>
          <w:ilvl w:val="1"/>
          <w:numId w:val="5"/>
        </w:numPr>
        <w:ind w:left="993" w:hanging="284"/>
        <w:rPr>
          <w:b/>
          <w:bCs/>
        </w:rPr>
      </w:pPr>
      <w:r w:rsidRPr="00402B40">
        <w:rPr>
          <w:b/>
          <w:bCs/>
        </w:rPr>
        <w:lastRenderedPageBreak/>
        <w:t xml:space="preserve">Building </w:t>
      </w:r>
      <w:r>
        <w:rPr>
          <w:b/>
          <w:bCs/>
        </w:rPr>
        <w:t xml:space="preserve">Field </w:t>
      </w:r>
      <w:r w:rsidRPr="00402B40">
        <w:rPr>
          <w:b/>
          <w:bCs/>
        </w:rPr>
        <w:t>Capability</w:t>
      </w:r>
      <w:r w:rsidRPr="00402B40">
        <w:t xml:space="preserve"> Culture and Inclusion: </w:t>
      </w:r>
      <w:r w:rsidR="00D642B1">
        <w:t>our employee engagement initiative</w:t>
      </w:r>
      <w:r w:rsidRPr="00402B40">
        <w:t xml:space="preserve"> and commitment to visible and open leadership</w:t>
      </w:r>
      <w:r w:rsidR="00015B6D">
        <w:t xml:space="preserve"> </w:t>
      </w:r>
      <w:r w:rsidRPr="00402B40">
        <w:t xml:space="preserve">contributed to improved </w:t>
      </w:r>
      <w:r>
        <w:t>scores in key areas</w:t>
      </w:r>
      <w:r w:rsidR="00D642B1">
        <w:t xml:space="preserve"> of the annual People Survey </w:t>
      </w:r>
      <w:r w:rsidR="005E6349">
        <w:t>(</w:t>
      </w:r>
      <w:r w:rsidR="00D642B1">
        <w:t>conducted across the UK Civil Service</w:t>
      </w:r>
      <w:r w:rsidR="005E6349">
        <w:t>)</w:t>
      </w:r>
      <w:r w:rsidR="00D642B1">
        <w:t xml:space="preserve">. </w:t>
      </w:r>
      <w:r>
        <w:t xml:space="preserve">At 63 per cent, </w:t>
      </w:r>
      <w:r w:rsidR="005E6349">
        <w:t>our</w:t>
      </w:r>
      <w:r>
        <w:t xml:space="preserve"> engagement score was one of the highest in ONS. Th</w:t>
      </w:r>
      <w:r w:rsidR="00E42C52">
        <w:t xml:space="preserve">is, along with the </w:t>
      </w:r>
      <w:r>
        <w:t>score for Inclusion and Fair Treatment</w:t>
      </w:r>
      <w:r w:rsidR="00E42C52">
        <w:t>,</w:t>
      </w:r>
      <w:r>
        <w:t xml:space="preserve"> </w:t>
      </w:r>
      <w:r w:rsidR="00E42C52">
        <w:t>increased markedly since 2017</w:t>
      </w:r>
      <w:r>
        <w:t xml:space="preserve"> (Chart </w:t>
      </w:r>
      <w:r w:rsidR="00B319D3">
        <w:t>1</w:t>
      </w:r>
      <w:r>
        <w:t>). While face-to-face</w:t>
      </w:r>
      <w:r w:rsidR="00015B6D">
        <w:t xml:space="preserve"> engagement</w:t>
      </w:r>
      <w:r>
        <w:t xml:space="preserve"> events had to be cancelled because of COVID-19, the team quickly set up virtual events to ensure that open, two-way communication </w:t>
      </w:r>
      <w:r w:rsidR="00D642B1">
        <w:t>continued</w:t>
      </w:r>
      <w:r>
        <w:t xml:space="preserve">.                                               </w:t>
      </w:r>
    </w:p>
    <w:p w14:paraId="3167A9EA" w14:textId="7794C09C" w:rsidR="00A0048E" w:rsidRPr="00CB6550" w:rsidRDefault="00A0048E" w:rsidP="002F2061">
      <w:pPr>
        <w:pStyle w:val="Boardparagraph"/>
        <w:numPr>
          <w:ilvl w:val="0"/>
          <w:numId w:val="0"/>
        </w:numPr>
        <w:spacing w:after="0"/>
        <w:ind w:left="993"/>
        <w:rPr>
          <w:b/>
          <w:bCs/>
        </w:rPr>
      </w:pPr>
      <w:r w:rsidRPr="00CB6550">
        <w:rPr>
          <w:b/>
          <w:bCs/>
        </w:rPr>
        <w:t xml:space="preserve">Chart </w:t>
      </w:r>
      <w:r w:rsidR="00B319D3">
        <w:rPr>
          <w:b/>
          <w:bCs/>
        </w:rPr>
        <w:t>1</w:t>
      </w:r>
      <w:r w:rsidRPr="00CB6550">
        <w:rPr>
          <w:b/>
          <w:bCs/>
        </w:rPr>
        <w:t>: People Survey Scores 2017, 2018 and 2019</w:t>
      </w:r>
    </w:p>
    <w:p w14:paraId="70EE4F52" w14:textId="77777777" w:rsidR="00A0048E" w:rsidRDefault="00A0048E" w:rsidP="002F2061">
      <w:pPr>
        <w:pStyle w:val="Boardparagraph"/>
        <w:numPr>
          <w:ilvl w:val="0"/>
          <w:numId w:val="0"/>
        </w:numPr>
        <w:spacing w:after="0"/>
        <w:ind w:left="993"/>
      </w:pPr>
      <w:r>
        <w:rPr>
          <w:noProof/>
        </w:rPr>
        <w:drawing>
          <wp:inline distT="0" distB="0" distL="0" distR="0" wp14:anchorId="576642EC" wp14:editId="65C99DE8">
            <wp:extent cx="3674042" cy="2390511"/>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29772" cy="2426772"/>
                    </a:xfrm>
                    <a:prstGeom prst="rect">
                      <a:avLst/>
                    </a:prstGeom>
                    <a:noFill/>
                    <a:ln>
                      <a:noFill/>
                    </a:ln>
                  </pic:spPr>
                </pic:pic>
              </a:graphicData>
            </a:graphic>
          </wp:inline>
        </w:drawing>
      </w:r>
    </w:p>
    <w:p w14:paraId="0165EA6A" w14:textId="77777777" w:rsidR="00A0048E" w:rsidRPr="002F2061" w:rsidRDefault="00A0048E" w:rsidP="00A0048E">
      <w:pPr>
        <w:pStyle w:val="Boardparagraph"/>
        <w:numPr>
          <w:ilvl w:val="0"/>
          <w:numId w:val="0"/>
        </w:numPr>
        <w:spacing w:after="0"/>
        <w:ind w:left="1077"/>
        <w:rPr>
          <w:b/>
          <w:bCs/>
        </w:rPr>
      </w:pPr>
    </w:p>
    <w:p w14:paraId="3DDE8E18" w14:textId="65023F49" w:rsidR="00A0048E" w:rsidRDefault="00A0048E" w:rsidP="002F2061">
      <w:pPr>
        <w:pStyle w:val="Boardparagraph"/>
        <w:numPr>
          <w:ilvl w:val="1"/>
          <w:numId w:val="5"/>
        </w:numPr>
        <w:spacing w:after="0"/>
        <w:ind w:left="993" w:hanging="284"/>
      </w:pPr>
      <w:r w:rsidRPr="00402B40">
        <w:rPr>
          <w:b/>
          <w:bCs/>
        </w:rPr>
        <w:t xml:space="preserve">Building </w:t>
      </w:r>
      <w:r>
        <w:rPr>
          <w:b/>
          <w:bCs/>
        </w:rPr>
        <w:t xml:space="preserve">Field </w:t>
      </w:r>
      <w:r w:rsidRPr="00402B40">
        <w:rPr>
          <w:b/>
          <w:bCs/>
        </w:rPr>
        <w:t>Capability</w:t>
      </w:r>
      <w:r w:rsidRPr="00402B40">
        <w:t xml:space="preserve"> Operational Excellence and Performance Management: an improved approach to allocations, new management information and a focus on time use had positive effects on performance.  </w:t>
      </w:r>
      <w:r w:rsidR="00D642B1">
        <w:t>I</w:t>
      </w:r>
      <w:r w:rsidR="007913DE">
        <w:t xml:space="preserve">n 2018, </w:t>
      </w:r>
      <w:r w:rsidRPr="00402B40">
        <w:t xml:space="preserve">an increase in non-interviewing demands </w:t>
      </w:r>
      <w:r w:rsidR="007913DE">
        <w:t xml:space="preserve">for interviewers led to a decrease in the proportion of time spent interviewing. The </w:t>
      </w:r>
      <w:r w:rsidRPr="00402B40">
        <w:t>new demands offer</w:t>
      </w:r>
      <w:r w:rsidR="00D642B1">
        <w:t>ed</w:t>
      </w:r>
      <w:r w:rsidRPr="00402B40">
        <w:t xml:space="preserve"> individual benefits and align</w:t>
      </w:r>
      <w:r w:rsidR="00D642B1">
        <w:t>ed</w:t>
      </w:r>
      <w:r w:rsidRPr="00402B40">
        <w:t xml:space="preserve"> to the</w:t>
      </w:r>
      <w:r w:rsidR="00680E19">
        <w:t xml:space="preserve"> inclusive</w:t>
      </w:r>
      <w:r w:rsidRPr="00402B40">
        <w:t xml:space="preserve"> culture we </w:t>
      </w:r>
      <w:r w:rsidR="00680E19">
        <w:t>are</w:t>
      </w:r>
      <w:r w:rsidRPr="00402B40">
        <w:t xml:space="preserve"> </w:t>
      </w:r>
      <w:r w:rsidR="00680E19">
        <w:t>building</w:t>
      </w:r>
      <w:r>
        <w:t xml:space="preserve"> but</w:t>
      </w:r>
      <w:r w:rsidR="00680E19">
        <w:t>,</w:t>
      </w:r>
      <w:r>
        <w:t xml:space="preserve"> </w:t>
      </w:r>
      <w:r w:rsidRPr="00402B40">
        <w:t>combined with introducing and embedding new technology,</w:t>
      </w:r>
      <w:r w:rsidR="007913DE">
        <w:t xml:space="preserve"> decrease</w:t>
      </w:r>
      <w:r w:rsidR="00680E19">
        <w:t>d time available for interviewing</w:t>
      </w:r>
      <w:r w:rsidR="007913DE">
        <w:t>.</w:t>
      </w:r>
      <w:r w:rsidRPr="00402B40">
        <w:t xml:space="preserve"> </w:t>
      </w:r>
      <w:r>
        <w:t>A</w:t>
      </w:r>
      <w:r w:rsidRPr="00402B40">
        <w:t xml:space="preserve"> ‘back to basics’ campaign to support interviewers in reducing the amount of time spent on administrati</w:t>
      </w:r>
      <w:r>
        <w:t xml:space="preserve">on </w:t>
      </w:r>
      <w:r w:rsidR="00D642B1">
        <w:t>resulted in t</w:t>
      </w:r>
      <w:r w:rsidR="00D642B1" w:rsidRPr="00402B40">
        <w:t>ime spent on interviewing activities increas</w:t>
      </w:r>
      <w:r w:rsidR="00D642B1">
        <w:t>ing</w:t>
      </w:r>
      <w:r w:rsidR="00D642B1" w:rsidRPr="00402B40">
        <w:t xml:space="preserve"> by about ten percentage points, as shown in Chart </w:t>
      </w:r>
      <w:r w:rsidR="00B319D3">
        <w:t>2</w:t>
      </w:r>
      <w:r w:rsidRPr="00402B40">
        <w:t>.</w:t>
      </w:r>
    </w:p>
    <w:p w14:paraId="7B474D9D" w14:textId="6A8E7BB8" w:rsidR="00015B6D" w:rsidRDefault="00015B6D" w:rsidP="00015B6D">
      <w:pPr>
        <w:pStyle w:val="Boardparagraph"/>
        <w:numPr>
          <w:ilvl w:val="0"/>
          <w:numId w:val="0"/>
        </w:numPr>
        <w:spacing w:after="0"/>
        <w:ind w:left="720"/>
      </w:pPr>
    </w:p>
    <w:p w14:paraId="1DFE014B" w14:textId="06BB52DA" w:rsidR="00A0048E" w:rsidRPr="00015B6D" w:rsidRDefault="00015B6D" w:rsidP="002F2061">
      <w:pPr>
        <w:pStyle w:val="Boardparagraph"/>
        <w:numPr>
          <w:ilvl w:val="0"/>
          <w:numId w:val="0"/>
        </w:numPr>
        <w:ind w:left="993"/>
        <w:rPr>
          <w:b/>
          <w:bCs/>
        </w:rPr>
      </w:pPr>
      <w:r w:rsidRPr="00015B6D">
        <w:rPr>
          <w:b/>
          <w:bCs/>
        </w:rPr>
        <w:t xml:space="preserve">Chart </w:t>
      </w:r>
      <w:r w:rsidR="00B319D3">
        <w:rPr>
          <w:b/>
          <w:bCs/>
        </w:rPr>
        <w:t>2</w:t>
      </w:r>
      <w:r w:rsidRPr="00015B6D">
        <w:rPr>
          <w:b/>
          <w:bCs/>
        </w:rPr>
        <w:t xml:space="preserve">: </w:t>
      </w:r>
      <w:r w:rsidR="00E42C52">
        <w:rPr>
          <w:b/>
          <w:bCs/>
        </w:rPr>
        <w:t>I</w:t>
      </w:r>
      <w:r w:rsidRPr="00015B6D">
        <w:rPr>
          <w:b/>
          <w:bCs/>
        </w:rPr>
        <w:t xml:space="preserve">nterviewer time on interviewing </w:t>
      </w:r>
      <w:r w:rsidR="00E42C52">
        <w:rPr>
          <w:b/>
          <w:bCs/>
        </w:rPr>
        <w:t>and</w:t>
      </w:r>
      <w:r w:rsidRPr="00015B6D">
        <w:rPr>
          <w:b/>
          <w:bCs/>
        </w:rPr>
        <w:t xml:space="preserve"> administration, Apr18</w:t>
      </w:r>
      <w:r w:rsidR="003D388B">
        <w:rPr>
          <w:b/>
          <w:bCs/>
        </w:rPr>
        <w:t xml:space="preserve"> –</w:t>
      </w:r>
      <w:r>
        <w:rPr>
          <w:b/>
          <w:bCs/>
        </w:rPr>
        <w:t xml:space="preserve"> </w:t>
      </w:r>
      <w:r w:rsidRPr="00015B6D">
        <w:rPr>
          <w:b/>
          <w:bCs/>
        </w:rPr>
        <w:t>Mar20</w:t>
      </w:r>
    </w:p>
    <w:p w14:paraId="34845FA1" w14:textId="648C86D6" w:rsidR="00A0048E" w:rsidRDefault="00015B6D" w:rsidP="002F2061">
      <w:pPr>
        <w:pStyle w:val="Boardparagraph"/>
        <w:numPr>
          <w:ilvl w:val="0"/>
          <w:numId w:val="0"/>
        </w:numPr>
        <w:ind w:left="993"/>
      </w:pPr>
      <w:r>
        <w:rPr>
          <w:noProof/>
        </w:rPr>
        <w:drawing>
          <wp:inline distT="0" distB="0" distL="0" distR="0" wp14:anchorId="2A975867" wp14:editId="3FCA0F36">
            <wp:extent cx="3734551" cy="243990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73022" cy="2465043"/>
                    </a:xfrm>
                    <a:prstGeom prst="rect">
                      <a:avLst/>
                    </a:prstGeom>
                    <a:noFill/>
                  </pic:spPr>
                </pic:pic>
              </a:graphicData>
            </a:graphic>
          </wp:inline>
        </w:drawing>
      </w:r>
    </w:p>
    <w:p w14:paraId="7E1DB022" w14:textId="77777777" w:rsidR="00B319D3" w:rsidRPr="00402B40" w:rsidRDefault="00B319D3" w:rsidP="00A0048E">
      <w:pPr>
        <w:pStyle w:val="Boardparagraph"/>
        <w:numPr>
          <w:ilvl w:val="0"/>
          <w:numId w:val="0"/>
        </w:numPr>
        <w:ind w:left="1080"/>
      </w:pPr>
    </w:p>
    <w:p w14:paraId="555584F8" w14:textId="616EE38E" w:rsidR="00A0048E" w:rsidRPr="00402B40" w:rsidRDefault="00A0048E" w:rsidP="002F2061">
      <w:pPr>
        <w:pStyle w:val="Boardparagraph"/>
        <w:numPr>
          <w:ilvl w:val="1"/>
          <w:numId w:val="5"/>
        </w:numPr>
        <w:ind w:left="993" w:hanging="284"/>
      </w:pPr>
      <w:r w:rsidRPr="008132E1">
        <w:rPr>
          <w:b/>
          <w:bCs/>
        </w:rPr>
        <w:t>Optimising</w:t>
      </w:r>
      <w:r w:rsidRPr="00402B40">
        <w:rPr>
          <w:b/>
          <w:bCs/>
        </w:rPr>
        <w:t xml:space="preserve"> Respondent</w:t>
      </w:r>
      <w:r>
        <w:rPr>
          <w:b/>
          <w:bCs/>
        </w:rPr>
        <w:t xml:space="preserve"> Engagement</w:t>
      </w:r>
      <w:r w:rsidRPr="00402B40">
        <w:t xml:space="preserve"> Incentives: Academic literature and in-house analysis have shown how incentives can support response rates</w:t>
      </w:r>
      <w:r w:rsidR="00E42C52">
        <w:t>; w</w:t>
      </w:r>
      <w:r w:rsidR="005E6349">
        <w:t>e</w:t>
      </w:r>
      <w:r w:rsidRPr="00402B40">
        <w:t xml:space="preserve"> devised a</w:t>
      </w:r>
      <w:r>
        <w:t xml:space="preserve">n </w:t>
      </w:r>
      <w:r>
        <w:lastRenderedPageBreak/>
        <w:t>incentives</w:t>
      </w:r>
      <w:r w:rsidRPr="00402B40">
        <w:t xml:space="preserve"> strategy </w:t>
      </w:r>
      <w:r>
        <w:t>bas</w:t>
      </w:r>
      <w:r w:rsidRPr="00402B40">
        <w:t xml:space="preserve">ed </w:t>
      </w:r>
      <w:r>
        <w:t>on</w:t>
      </w:r>
      <w:r w:rsidRPr="00402B40">
        <w:t xml:space="preserve"> this.</w:t>
      </w:r>
      <w:r w:rsidR="002C31DA" w:rsidRPr="00402B40">
        <w:t xml:space="preserve"> </w:t>
      </w:r>
      <w:r w:rsidR="005E6349">
        <w:t>T</w:t>
      </w:r>
      <w:r w:rsidRPr="00402B40">
        <w:t xml:space="preserve">he main change was the introduction of unconditional incentives for all sampled LFS addresses in May 2017. </w:t>
      </w:r>
      <w:r>
        <w:t>S</w:t>
      </w:r>
      <w:r w:rsidRPr="00402B40">
        <w:t xml:space="preserve">tatistical analysis estimated that the overall response rate would have been 4.1 percentage points lower if incentives had not been used. This can be seen in Chart </w:t>
      </w:r>
      <w:r w:rsidR="00B319D3">
        <w:t>3</w:t>
      </w:r>
      <w:r w:rsidRPr="00402B40">
        <w:t xml:space="preserve"> by a step change in May 2017. Since data collection has moved to telephone </w:t>
      </w:r>
      <w:r>
        <w:t>because of</w:t>
      </w:r>
      <w:r w:rsidRPr="00402B40">
        <w:t xml:space="preserve"> COVID-19, some planned </w:t>
      </w:r>
      <w:r w:rsidR="00E42C52" w:rsidRPr="00402B40">
        <w:t xml:space="preserve">incentives </w:t>
      </w:r>
      <w:r w:rsidRPr="00402B40">
        <w:t>changes have been fast</w:t>
      </w:r>
      <w:r>
        <w:t>-</w:t>
      </w:r>
      <w:r w:rsidRPr="00402B40">
        <w:t>tracked</w:t>
      </w:r>
      <w:r w:rsidR="002C31DA">
        <w:t xml:space="preserve"> and resulting cost savings</w:t>
      </w:r>
      <w:r w:rsidRPr="00402B40">
        <w:t xml:space="preserve"> used to boost sample</w:t>
      </w:r>
      <w:r w:rsidR="005E6349">
        <w:t xml:space="preserve"> size</w:t>
      </w:r>
      <w:r w:rsidRPr="00402B40">
        <w:t>s and incentive</w:t>
      </w:r>
      <w:r>
        <w:t xml:space="preserve"> value</w:t>
      </w:r>
      <w:r w:rsidRPr="00402B40">
        <w:t>s to help our response to</w:t>
      </w:r>
      <w:r w:rsidR="00B319D3">
        <w:t xml:space="preserve"> the pandemic</w:t>
      </w:r>
      <w:r w:rsidRPr="00402B40">
        <w:t>.</w:t>
      </w:r>
    </w:p>
    <w:p w14:paraId="4CDB03FF" w14:textId="1691E6A0" w:rsidR="00A0048E" w:rsidRPr="00402B40" w:rsidRDefault="00A0048E" w:rsidP="002F2061">
      <w:pPr>
        <w:pStyle w:val="Boardparagraph"/>
        <w:numPr>
          <w:ilvl w:val="1"/>
          <w:numId w:val="5"/>
        </w:numPr>
        <w:ind w:left="993"/>
      </w:pPr>
      <w:r w:rsidRPr="008132E1">
        <w:rPr>
          <w:b/>
          <w:bCs/>
        </w:rPr>
        <w:t>Optimising</w:t>
      </w:r>
      <w:r w:rsidRPr="00402B40">
        <w:rPr>
          <w:b/>
          <w:bCs/>
        </w:rPr>
        <w:t xml:space="preserve"> Respondent</w:t>
      </w:r>
      <w:r>
        <w:rPr>
          <w:b/>
          <w:bCs/>
        </w:rPr>
        <w:t xml:space="preserve"> Engagement</w:t>
      </w:r>
      <w:r w:rsidRPr="00402B40">
        <w:t xml:space="preserve"> Marketing and Publicity: we have </w:t>
      </w:r>
      <w:r w:rsidR="005E6349">
        <w:t>work</w:t>
      </w:r>
      <w:r w:rsidRPr="00402B40">
        <w:t xml:space="preserve">ed with </w:t>
      </w:r>
      <w:r w:rsidR="00563B95">
        <w:t xml:space="preserve">Communications </w:t>
      </w:r>
      <w:r w:rsidRPr="00402B40">
        <w:t xml:space="preserve">colleagues to raise the profile of social surveys and ensure that we will benefit from the increased effort given to marketing and publicity for the 2021 census. The COVID-19 crisis has been an unexpected boost to public awareness of and trust in ONS, which we have sought to capitalise on in media appearances and through a social media campaign. </w:t>
      </w:r>
    </w:p>
    <w:p w14:paraId="093528AE" w14:textId="0D35D90F" w:rsidR="00A0048E" w:rsidRDefault="00A0048E" w:rsidP="002F2061">
      <w:pPr>
        <w:pStyle w:val="Boardparagraph"/>
        <w:numPr>
          <w:ilvl w:val="1"/>
          <w:numId w:val="5"/>
        </w:numPr>
        <w:ind w:left="993"/>
      </w:pPr>
      <w:r>
        <w:rPr>
          <w:b/>
          <w:bCs/>
        </w:rPr>
        <w:t>Transforming Survey Design</w:t>
      </w:r>
      <w:r w:rsidRPr="00402B40">
        <w:t xml:space="preserve"> Moving Online</w:t>
      </w:r>
      <w:r w:rsidR="00563B95">
        <w:t>:</w:t>
      </w:r>
      <w:r w:rsidRPr="00402B40">
        <w:t xml:space="preserve"> In November 2019, </w:t>
      </w:r>
      <w:r w:rsidR="00E42C52">
        <w:t>we started our first live mixed mode (</w:t>
      </w:r>
      <w:r w:rsidR="00E42C52" w:rsidRPr="00402B40">
        <w:t>online/phone</w:t>
      </w:r>
      <w:r w:rsidR="00E42C52">
        <w:t xml:space="preserve">) survey, </w:t>
      </w:r>
      <w:r w:rsidRPr="00402B40">
        <w:t>the Opinions and Lifestyle Survey</w:t>
      </w:r>
      <w:r w:rsidR="005E6349">
        <w:t>.</w:t>
      </w:r>
      <w:r w:rsidRPr="00402B40">
        <w:t xml:space="preserve"> Work to develop online surveys meant </w:t>
      </w:r>
      <w:r w:rsidR="00563B95">
        <w:t>ONS</w:t>
      </w:r>
      <w:r w:rsidRPr="00402B40">
        <w:t xml:space="preserve"> w</w:t>
      </w:r>
      <w:r w:rsidR="00E42C52">
        <w:t>as</w:t>
      </w:r>
      <w:r w:rsidRPr="00402B40">
        <w:t xml:space="preserve"> able to respond quickly </w:t>
      </w:r>
      <w:r w:rsidR="00E42C52">
        <w:t>to</w:t>
      </w:r>
      <w:r w:rsidRPr="00402B40">
        <w:t xml:space="preserve"> COVID-19 to supplement response by s</w:t>
      </w:r>
      <w:r>
        <w:t>ettin</w:t>
      </w:r>
      <w:r w:rsidRPr="00402B40">
        <w:t xml:space="preserve">g up online surveys of the labour market and </w:t>
      </w:r>
      <w:r>
        <w:t xml:space="preserve">to </w:t>
      </w:r>
      <w:r w:rsidRPr="00402B40">
        <w:t xml:space="preserve">assess the </w:t>
      </w:r>
      <w:r>
        <w:t xml:space="preserve">social </w:t>
      </w:r>
      <w:r w:rsidRPr="00402B40">
        <w:t xml:space="preserve">effects of the pandemic. </w:t>
      </w:r>
      <w:r w:rsidR="00E42C52">
        <w:t xml:space="preserve">Accelerating </w:t>
      </w:r>
      <w:r>
        <w:t xml:space="preserve">the transformation of other </w:t>
      </w:r>
      <w:r w:rsidR="00563B95">
        <w:t xml:space="preserve">social </w:t>
      </w:r>
      <w:r>
        <w:t>surveys will be a priority in the coming year</w:t>
      </w:r>
      <w:r w:rsidR="00E42C52">
        <w:t>, with</w:t>
      </w:r>
      <w:r>
        <w:t xml:space="preserve"> online collection used alongside telephone and face-to-face modes. </w:t>
      </w:r>
    </w:p>
    <w:p w14:paraId="7B6AA6F8" w14:textId="76334F1D" w:rsidR="00B96346" w:rsidRPr="00F829E6" w:rsidRDefault="00A0048E" w:rsidP="00B96346">
      <w:pPr>
        <w:pStyle w:val="Boardheading"/>
      </w:pPr>
      <w:r>
        <w:t>The Effect on Response Rate</w:t>
      </w:r>
      <w:r w:rsidR="00B96346">
        <w:t>s</w:t>
      </w:r>
      <w:r w:rsidR="00563B95">
        <w:t xml:space="preserve"> of the strategy and of COVID-19</w:t>
      </w:r>
    </w:p>
    <w:p w14:paraId="5BB94279" w14:textId="67E06B62" w:rsidR="00FE47F3" w:rsidRPr="00473642" w:rsidRDefault="00A0048E" w:rsidP="00FE47F3">
      <w:pPr>
        <w:pStyle w:val="Boardparagraph"/>
        <w:rPr>
          <w:i/>
          <w:iCs/>
        </w:rPr>
      </w:pPr>
      <w:r>
        <w:t>I</w:t>
      </w:r>
      <w:r w:rsidR="00FE47F3" w:rsidRPr="00473642">
        <w:t>n the first year of the strategy</w:t>
      </w:r>
      <w:r>
        <w:t xml:space="preserve"> (</w:t>
      </w:r>
      <w:r w:rsidR="00FE47F3" w:rsidRPr="00473642">
        <w:t>2018/19</w:t>
      </w:r>
      <w:r>
        <w:t xml:space="preserve">), the </w:t>
      </w:r>
      <w:r w:rsidR="00FE47F3" w:rsidRPr="00473642">
        <w:t xml:space="preserve">desired response rate increases </w:t>
      </w:r>
      <w:r>
        <w:t>were</w:t>
      </w:r>
      <w:r w:rsidR="00FE47F3" w:rsidRPr="00473642">
        <w:t xml:space="preserve"> not achieved. </w:t>
      </w:r>
      <w:r>
        <w:t>Reasons</w:t>
      </w:r>
      <w:r w:rsidR="00FE47F3" w:rsidRPr="00473642">
        <w:t xml:space="preserve"> included the effect of substantial changes to working practices</w:t>
      </w:r>
      <w:r w:rsidR="00563B95">
        <w:t>,</w:t>
      </w:r>
      <w:r w:rsidR="00FE47F3" w:rsidRPr="00473642">
        <w:t xml:space="preserve"> including for example, </w:t>
      </w:r>
      <w:r w:rsidR="00FE47F3">
        <w:t xml:space="preserve">the </w:t>
      </w:r>
      <w:r w:rsidR="00FE47F3" w:rsidRPr="00473642">
        <w:t xml:space="preserve">introduction of </w:t>
      </w:r>
      <w:r w:rsidR="00FE47F3">
        <w:t>new technolog</w:t>
      </w:r>
      <w:r w:rsidR="00DE73F2">
        <w:t>ies</w:t>
      </w:r>
      <w:r w:rsidR="00FE47F3">
        <w:t xml:space="preserve"> for interviewers to manage their work</w:t>
      </w:r>
      <w:r w:rsidR="00DE73F2">
        <w:t>. These,</w:t>
      </w:r>
      <w:r w:rsidR="00FE47F3" w:rsidRPr="00473642">
        <w:t xml:space="preserve"> combined with low digital skills among interviewers, led to increased administration time and </w:t>
      </w:r>
      <w:proofErr w:type="gramStart"/>
      <w:r w:rsidR="00FE47F3" w:rsidRPr="00473642">
        <w:t>a number of</w:t>
      </w:r>
      <w:proofErr w:type="gramEnd"/>
      <w:r w:rsidR="00FE47F3" w:rsidRPr="00473642">
        <w:t xml:space="preserve"> staff choosing to leave. </w:t>
      </w:r>
      <w:r w:rsidR="00563B95">
        <w:t>There was also a</w:t>
      </w:r>
      <w:r w:rsidR="00FE47F3" w:rsidRPr="00473642">
        <w:t xml:space="preserve"> blackout of management information during 2018/19 </w:t>
      </w:r>
      <w:r w:rsidR="00DE73F2">
        <w:t>as background system changes were made in ONS</w:t>
      </w:r>
      <w:r w:rsidR="00FE47F3" w:rsidRPr="00473642">
        <w:t>. Incentives for</w:t>
      </w:r>
      <w:r w:rsidR="00367EAE">
        <w:t xml:space="preserve"> </w:t>
      </w:r>
      <w:r w:rsidR="00B9440F">
        <w:t xml:space="preserve">LFS </w:t>
      </w:r>
      <w:r w:rsidR="00367EAE">
        <w:t xml:space="preserve">respondents </w:t>
      </w:r>
      <w:r w:rsidR="00FE47F3" w:rsidRPr="00473642">
        <w:t xml:space="preserve">(introduced in 2017) continued to boost response by about four percentage points but did not halt its underlying decline or compensate for these factors. </w:t>
      </w:r>
    </w:p>
    <w:p w14:paraId="1A38DE1E" w14:textId="4D78F9DB" w:rsidR="00FE47F3" w:rsidRDefault="00FE47F3" w:rsidP="00B319D3">
      <w:pPr>
        <w:pStyle w:val="Boardparagraph"/>
        <w:jc w:val="both"/>
      </w:pPr>
      <w:r w:rsidRPr="00402B40">
        <w:t xml:space="preserve">Response for the period 2017/18 to 2019/20 for </w:t>
      </w:r>
      <w:r>
        <w:t xml:space="preserve">Wave 1 of </w:t>
      </w:r>
      <w:r w:rsidRPr="00402B40">
        <w:t xml:space="preserve">the LFS </w:t>
      </w:r>
      <w:r>
        <w:t>is</w:t>
      </w:r>
      <w:r w:rsidRPr="00402B40">
        <w:t xml:space="preserve"> shown in Chart </w:t>
      </w:r>
      <w:r w:rsidR="00B319D3">
        <w:t>3</w:t>
      </w:r>
      <w:r w:rsidRPr="00402B40">
        <w:t>, along with key events. Apart from the normal seasonal effects of Christmas</w:t>
      </w:r>
      <w:r>
        <w:t>,</w:t>
      </w:r>
      <w:r w:rsidRPr="00402B40">
        <w:t xml:space="preserve"> and until the response shock caused by COVID-19 in March 2020, the LFS target had been met in </w:t>
      </w:r>
      <w:r>
        <w:t>nine</w:t>
      </w:r>
      <w:r w:rsidRPr="00402B40">
        <w:t xml:space="preserve"> months out of </w:t>
      </w:r>
      <w:r>
        <w:t>the year</w:t>
      </w:r>
      <w:r w:rsidRPr="00402B40">
        <w:t>. This was a welcome recovery after the impact of multiple changes depressed response in 2018/19</w:t>
      </w:r>
      <w:r>
        <w:t xml:space="preserve"> and</w:t>
      </w:r>
      <w:r w:rsidRPr="00402B40">
        <w:t xml:space="preserve"> an encouraging achievement against the backdrop of a long-running downward trend in response across the survey industry and internationally</w:t>
      </w:r>
      <w:r>
        <w:t xml:space="preserve"> (de Leeuw and de </w:t>
      </w:r>
      <w:proofErr w:type="spellStart"/>
      <w:r>
        <w:t>Heer</w:t>
      </w:r>
      <w:proofErr w:type="spellEnd"/>
      <w:r>
        <w:t>, 2002</w:t>
      </w:r>
      <w:r w:rsidRPr="003C45B3">
        <w:rPr>
          <w:vertAlign w:val="superscript"/>
        </w:rPr>
        <w:footnoteReference w:id="1"/>
      </w:r>
      <w:r>
        <w:t xml:space="preserve">, de Leeuw, </w:t>
      </w:r>
      <w:proofErr w:type="spellStart"/>
      <w:r>
        <w:t>Hox</w:t>
      </w:r>
      <w:proofErr w:type="spellEnd"/>
      <w:r>
        <w:t xml:space="preserve"> and Luiten, 2018</w:t>
      </w:r>
      <w:r w:rsidRPr="003C45B3">
        <w:rPr>
          <w:vertAlign w:val="superscript"/>
        </w:rPr>
        <w:footnoteReference w:id="2"/>
      </w:r>
      <w:r>
        <w:t>).</w:t>
      </w:r>
      <w:r w:rsidR="00B319D3" w:rsidRPr="00B319D3">
        <w:t xml:space="preserve"> </w:t>
      </w:r>
      <w:r w:rsidR="00B319D3">
        <w:t>This also provides encouraging evidence that the elements of the Response Rate Strategy had been having a positive effect.</w:t>
      </w:r>
    </w:p>
    <w:p w14:paraId="35163813" w14:textId="65D4DF86" w:rsidR="003D388B" w:rsidRDefault="003D388B" w:rsidP="003D388B">
      <w:pPr>
        <w:pStyle w:val="Boardparagraph"/>
        <w:numPr>
          <w:ilvl w:val="0"/>
          <w:numId w:val="0"/>
        </w:numPr>
        <w:jc w:val="both"/>
      </w:pPr>
    </w:p>
    <w:p w14:paraId="32901808" w14:textId="0B471A2B" w:rsidR="00E42C52" w:rsidRDefault="00E42C52" w:rsidP="003D388B">
      <w:pPr>
        <w:pStyle w:val="Boardparagraph"/>
        <w:numPr>
          <w:ilvl w:val="0"/>
          <w:numId w:val="0"/>
        </w:numPr>
        <w:jc w:val="both"/>
      </w:pPr>
    </w:p>
    <w:p w14:paraId="41C395C0" w14:textId="77777777" w:rsidR="00D860C6" w:rsidRDefault="00D860C6" w:rsidP="003D388B">
      <w:pPr>
        <w:pStyle w:val="Boardparagraph"/>
        <w:numPr>
          <w:ilvl w:val="0"/>
          <w:numId w:val="0"/>
        </w:numPr>
        <w:jc w:val="both"/>
      </w:pPr>
    </w:p>
    <w:p w14:paraId="02C3FB1B" w14:textId="77777777" w:rsidR="00E42C52" w:rsidRDefault="00E42C52" w:rsidP="003D388B">
      <w:pPr>
        <w:pStyle w:val="Boardparagraph"/>
        <w:numPr>
          <w:ilvl w:val="0"/>
          <w:numId w:val="0"/>
        </w:numPr>
        <w:jc w:val="both"/>
      </w:pPr>
    </w:p>
    <w:p w14:paraId="18E7570F" w14:textId="77777777" w:rsidR="002F2061" w:rsidRDefault="002F2061">
      <w:pPr>
        <w:rPr>
          <w:rFonts w:ascii="Arial" w:eastAsia="Calibri" w:hAnsi="Arial" w:cs="Arial"/>
          <w:b/>
          <w:bCs/>
          <w:color w:val="000000"/>
        </w:rPr>
      </w:pPr>
      <w:r>
        <w:rPr>
          <w:b/>
          <w:bCs/>
        </w:rPr>
        <w:br w:type="page"/>
      </w:r>
    </w:p>
    <w:p w14:paraId="3ED09E43" w14:textId="7ED3A82A" w:rsidR="003D388B" w:rsidRPr="003D388B" w:rsidRDefault="003D388B" w:rsidP="002F2061">
      <w:pPr>
        <w:pStyle w:val="Boardparagraph"/>
        <w:numPr>
          <w:ilvl w:val="0"/>
          <w:numId w:val="0"/>
        </w:numPr>
        <w:ind w:left="993"/>
        <w:rPr>
          <w:b/>
          <w:bCs/>
        </w:rPr>
      </w:pPr>
      <w:r w:rsidRPr="003D388B">
        <w:rPr>
          <w:b/>
          <w:bCs/>
        </w:rPr>
        <w:lastRenderedPageBreak/>
        <w:t>Chart 3: LFS response rates and key events April 2017 – March 2020</w:t>
      </w:r>
    </w:p>
    <w:p w14:paraId="6454332D" w14:textId="62153200" w:rsidR="003D388B" w:rsidRPr="00402B40" w:rsidRDefault="002F2061" w:rsidP="002F2061">
      <w:pPr>
        <w:pStyle w:val="Boardparagraph"/>
        <w:numPr>
          <w:ilvl w:val="0"/>
          <w:numId w:val="0"/>
        </w:numPr>
        <w:ind w:left="993"/>
      </w:pPr>
      <w:r>
        <w:rPr>
          <w:noProof/>
        </w:rPr>
        <w:drawing>
          <wp:inline distT="0" distB="0" distL="0" distR="0" wp14:anchorId="2EFDAE11" wp14:editId="1EEDA4F0">
            <wp:extent cx="4854568" cy="3524250"/>
            <wp:effectExtent l="0" t="0" r="381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80365" cy="3542978"/>
                    </a:xfrm>
                    <a:prstGeom prst="rect">
                      <a:avLst/>
                    </a:prstGeom>
                    <a:noFill/>
                  </pic:spPr>
                </pic:pic>
              </a:graphicData>
            </a:graphic>
          </wp:inline>
        </w:drawing>
      </w:r>
    </w:p>
    <w:p w14:paraId="2F67DE87" w14:textId="540AEB54" w:rsidR="003D388B" w:rsidRDefault="003D388B" w:rsidP="003D388B">
      <w:pPr>
        <w:pStyle w:val="Boardparagraph"/>
        <w:numPr>
          <w:ilvl w:val="0"/>
          <w:numId w:val="0"/>
        </w:numPr>
        <w:ind w:left="360"/>
      </w:pPr>
      <w:r>
        <w:t xml:space="preserve"> </w:t>
      </w:r>
    </w:p>
    <w:p w14:paraId="1BA9B879" w14:textId="64E4074C" w:rsidR="00A23D60" w:rsidRDefault="00DE73F2" w:rsidP="003D39EC">
      <w:pPr>
        <w:pStyle w:val="Boardparagraph"/>
      </w:pPr>
      <w:r>
        <w:t>When government guidance on COVID-19 advised that, “</w:t>
      </w:r>
      <w:r w:rsidRPr="00DE73F2">
        <w:rPr>
          <w:color w:val="0B0C0C"/>
        </w:rPr>
        <w:t xml:space="preserve">now is the time for everyone to stop non-essential contact with others and to stop all unnecessary travel,” </w:t>
      </w:r>
      <w:r>
        <w:t>ONS ceased face-to-face data collection immediately in favour of its interviewers working by telephone from home. T</w:t>
      </w:r>
      <w:r w:rsidR="00FE47F3" w:rsidRPr="00402B40">
        <w:t xml:space="preserve">echnical issues </w:t>
      </w:r>
      <w:r>
        <w:t xml:space="preserve">relating to home-working equipment and processes </w:t>
      </w:r>
      <w:r w:rsidR="00FE47F3" w:rsidRPr="00402B40">
        <w:t xml:space="preserve">were resolved quickly, </w:t>
      </w:r>
      <w:r>
        <w:t xml:space="preserve">but </w:t>
      </w:r>
      <w:r w:rsidR="00FE47F3" w:rsidRPr="00402B40">
        <w:t xml:space="preserve">response </w:t>
      </w:r>
      <w:r w:rsidR="00FE47F3">
        <w:t>was</w:t>
      </w:r>
      <w:r w:rsidR="00FE47F3" w:rsidRPr="00402B40">
        <w:t xml:space="preserve"> affected by the lack of phone numbers for respondents. We responded to this by adding tele-matching of addresses, and later a respondent portal to provide contact details. </w:t>
      </w:r>
    </w:p>
    <w:p w14:paraId="12ADD36F" w14:textId="1AF8CCF2" w:rsidR="00FE47F3" w:rsidRDefault="00FE47F3" w:rsidP="003D39EC">
      <w:pPr>
        <w:pStyle w:val="Boardparagraph"/>
      </w:pPr>
      <w:r>
        <w:t>B</w:t>
      </w:r>
      <w:r w:rsidR="00A0048E">
        <w:t>y May 2020, b</w:t>
      </w:r>
      <w:r>
        <w:t xml:space="preserve">etween 45 and 50 per cent of all newly selected addresses </w:t>
      </w:r>
      <w:r w:rsidR="00A0048E">
        <w:t>had</w:t>
      </w:r>
      <w:r>
        <w:t xml:space="preserve"> a phone number, either through tele-matching or provided by the respondent to the portal or to the interviewer. </w:t>
      </w:r>
      <w:r w:rsidR="00A23D60">
        <w:t>This resulted in around a third of newly sampled addresses taking part each week.</w:t>
      </w:r>
    </w:p>
    <w:p w14:paraId="31EDCEE7" w14:textId="617A6149" w:rsidR="00FE47F3" w:rsidRDefault="00E42C52" w:rsidP="00C52A6F">
      <w:pPr>
        <w:pStyle w:val="Boardparagraph"/>
      </w:pPr>
      <w:r>
        <w:t>N</w:t>
      </w:r>
      <w:r w:rsidR="00FE47F3" w:rsidRPr="00402B40">
        <w:t>on-LFS surveys took more of a hit to performance due to COVID-19</w:t>
      </w:r>
      <w:r w:rsidR="00B9440F">
        <w:t>. T</w:t>
      </w:r>
      <w:r w:rsidR="00FE47F3" w:rsidRPr="00402B40">
        <w:t>hey are typically longer and more complex</w:t>
      </w:r>
      <w:r w:rsidR="00BF208F">
        <w:t>,</w:t>
      </w:r>
      <w:r w:rsidR="00B9440F">
        <w:t xml:space="preserve"> so it was more difficult to </w:t>
      </w:r>
      <w:r w:rsidR="00FE47F3" w:rsidRPr="00402B40">
        <w:t xml:space="preserve">adapt </w:t>
      </w:r>
      <w:r w:rsidR="00B9440F">
        <w:t xml:space="preserve">them </w:t>
      </w:r>
      <w:r w:rsidR="00FE47F3" w:rsidRPr="00402B40">
        <w:t>for telephone collection</w:t>
      </w:r>
      <w:r w:rsidR="00B9440F">
        <w:t>, for example by shortening questionnaires and removing showcards</w:t>
      </w:r>
      <w:r w:rsidR="00FE47F3" w:rsidRPr="00402B40">
        <w:t xml:space="preserve">. </w:t>
      </w:r>
      <w:r w:rsidR="00A23D60">
        <w:t>Between 25 and 30 per cent of newly sampled addresses typically take part each month</w:t>
      </w:r>
      <w:r w:rsidR="00BF208F">
        <w:t xml:space="preserve"> now</w:t>
      </w:r>
      <w:r w:rsidR="00A23D60">
        <w:t>.</w:t>
      </w:r>
    </w:p>
    <w:p w14:paraId="3F860079" w14:textId="4945F402" w:rsidR="00B96346" w:rsidRDefault="00B96346" w:rsidP="00B96346">
      <w:pPr>
        <w:pStyle w:val="Boardheading"/>
      </w:pPr>
      <w:r>
        <w:t>What COVID-19 means for the Strategy</w:t>
      </w:r>
    </w:p>
    <w:p w14:paraId="0336B4D0" w14:textId="4118D282" w:rsidR="00C52A6F" w:rsidRPr="00402B40" w:rsidRDefault="00C52A6F" w:rsidP="00C52A6F">
      <w:pPr>
        <w:pStyle w:val="Boardparagraph"/>
        <w:rPr>
          <w:b/>
        </w:rPr>
      </w:pPr>
      <w:r w:rsidRPr="00402B40">
        <w:t>The shock to response of COVID-19 means that the stra</w:t>
      </w:r>
      <w:r>
        <w:t>tegy</w:t>
      </w:r>
      <w:r w:rsidRPr="00402B40">
        <w:t xml:space="preserve"> now need</w:t>
      </w:r>
      <w:r>
        <w:t>s</w:t>
      </w:r>
      <w:r w:rsidRPr="00402B40">
        <w:t xml:space="preserve"> to be re-evaluated in the context of our new working practices and our expectations of how our working practices will be affected in the longer term. Having concentrated on weathering the crisis over the first months of COVID-19, we are now </w:t>
      </w:r>
      <w:r>
        <w:t>considering</w:t>
      </w:r>
      <w:r w:rsidRPr="00402B40">
        <w:t xml:space="preserve"> what </w:t>
      </w:r>
      <w:r>
        <w:t xml:space="preserve">model of data collection </w:t>
      </w:r>
      <w:r w:rsidRPr="00402B40">
        <w:t xml:space="preserve">we can </w:t>
      </w:r>
      <w:r>
        <w:t xml:space="preserve">and should </w:t>
      </w:r>
      <w:r w:rsidRPr="00402B40">
        <w:t>return to</w:t>
      </w:r>
      <w:r>
        <w:t xml:space="preserve"> and what opportunities the changes present</w:t>
      </w:r>
      <w:r w:rsidRPr="00402B40">
        <w:t xml:space="preserve">. </w:t>
      </w:r>
    </w:p>
    <w:p w14:paraId="64C34A9B" w14:textId="3BFD4C0E" w:rsidR="00C52A6F" w:rsidRPr="005C3052" w:rsidRDefault="0060778F" w:rsidP="00C52A6F">
      <w:pPr>
        <w:pStyle w:val="Boardparagraph"/>
      </w:pPr>
      <w:r w:rsidRPr="005C3052">
        <w:t>Re-evaluation of the strategy</w:t>
      </w:r>
      <w:r w:rsidR="00C52A6F" w:rsidRPr="005C3052">
        <w:t xml:space="preserve"> </w:t>
      </w:r>
      <w:r w:rsidR="00FE21A6">
        <w:t>will include</w:t>
      </w:r>
      <w:r w:rsidR="00C52A6F" w:rsidRPr="005C3052">
        <w:t xml:space="preserve"> maximis</w:t>
      </w:r>
      <w:r w:rsidR="00FE21A6">
        <w:t>ing</w:t>
      </w:r>
      <w:r w:rsidR="00C52A6F" w:rsidRPr="005C3052">
        <w:t xml:space="preserve"> telephone number collection to support our interim operating model, </w:t>
      </w:r>
      <w:r w:rsidR="007D3B1F">
        <w:t xml:space="preserve">and an exploration of </w:t>
      </w:r>
      <w:r w:rsidR="00B9440F">
        <w:t>Knock-to-Nudge</w:t>
      </w:r>
      <w:r w:rsidR="008C215B">
        <w:t>:</w:t>
      </w:r>
      <w:r w:rsidR="00B9440F">
        <w:t xml:space="preserve"> </w:t>
      </w:r>
      <w:r w:rsidR="007D3B1F">
        <w:t xml:space="preserve">doorstep visits </w:t>
      </w:r>
      <w:r w:rsidR="00B9440F">
        <w:t>to</w:t>
      </w:r>
      <w:r w:rsidR="007D3B1F">
        <w:t xml:space="preserve"> collect telephone numbers rather than data. T</w:t>
      </w:r>
      <w:r w:rsidR="00C52A6F" w:rsidRPr="005C3052">
        <w:t>he strategy will</w:t>
      </w:r>
      <w:r w:rsidR="007D3B1F">
        <w:t xml:space="preserve"> also</w:t>
      </w:r>
      <w:r w:rsidR="00C52A6F" w:rsidRPr="005C3052">
        <w:t xml:space="preserve"> need to adapt to accommodate changes to transformation plans recently a</w:t>
      </w:r>
      <w:r w:rsidR="008C215B">
        <w:t>greed</w:t>
      </w:r>
      <w:r w:rsidR="00C52A6F" w:rsidRPr="005C3052">
        <w:t xml:space="preserve">. Following the launch of the online </w:t>
      </w:r>
      <w:r w:rsidR="006B0297">
        <w:t>labour market study (</w:t>
      </w:r>
      <w:r w:rsidR="00C52A6F" w:rsidRPr="005C3052">
        <w:t>LMS</w:t>
      </w:r>
      <w:r w:rsidR="006B0297">
        <w:t>)</w:t>
      </w:r>
      <w:r w:rsidR="00C52A6F" w:rsidRPr="005C3052">
        <w:t xml:space="preserve"> as a contingency during the COVID-19 emergency, the priority is to </w:t>
      </w:r>
      <w:r>
        <w:t>accelera</w:t>
      </w:r>
      <w:r w:rsidR="00C52A6F" w:rsidRPr="005C3052">
        <w:t xml:space="preserve">te the replacement of LFS by putting residual content online as well. There is an emerging demand for an online income survey which, combined with surveys </w:t>
      </w:r>
      <w:r w:rsidR="00BF208F">
        <w:t xml:space="preserve">now </w:t>
      </w:r>
      <w:r w:rsidR="00BF208F" w:rsidRPr="005C3052">
        <w:t>shorten</w:t>
      </w:r>
      <w:r w:rsidR="00BF208F">
        <w:t>ed</w:t>
      </w:r>
      <w:r w:rsidR="00BF208F" w:rsidRPr="005C3052">
        <w:t xml:space="preserve"> </w:t>
      </w:r>
      <w:r w:rsidR="00C52A6F" w:rsidRPr="005C3052">
        <w:t xml:space="preserve">for telephone mode, will be likely to accelerate the transformation of </w:t>
      </w:r>
      <w:r w:rsidR="00BF208F">
        <w:t>h</w:t>
      </w:r>
      <w:r w:rsidR="00C52A6F" w:rsidRPr="005C3052">
        <w:t xml:space="preserve">ousehold </w:t>
      </w:r>
      <w:r w:rsidR="00BF208F">
        <w:t>f</w:t>
      </w:r>
      <w:r w:rsidR="00C52A6F" w:rsidRPr="005C3052">
        <w:t xml:space="preserve">inancial </w:t>
      </w:r>
      <w:r w:rsidR="00BF208F">
        <w:t>s</w:t>
      </w:r>
      <w:r w:rsidR="00C52A6F" w:rsidRPr="005C3052">
        <w:t>urvey</w:t>
      </w:r>
      <w:r w:rsidR="008C215B">
        <w:t>s</w:t>
      </w:r>
      <w:r w:rsidR="00C52A6F" w:rsidRPr="005C3052">
        <w:t xml:space="preserve">. </w:t>
      </w:r>
    </w:p>
    <w:p w14:paraId="7F3F736C" w14:textId="7F5B85A1" w:rsidR="00FE47F3" w:rsidRPr="005C3052" w:rsidRDefault="00FE47F3" w:rsidP="002F2061">
      <w:pPr>
        <w:pStyle w:val="Boardparagraph"/>
        <w:numPr>
          <w:ilvl w:val="0"/>
          <w:numId w:val="0"/>
        </w:numPr>
        <w:spacing w:after="0"/>
        <w:rPr>
          <w:b/>
          <w:bCs/>
        </w:rPr>
      </w:pPr>
      <w:r w:rsidRPr="005C3052">
        <w:rPr>
          <w:b/>
          <w:bCs/>
        </w:rPr>
        <w:lastRenderedPageBreak/>
        <w:t>Conclusion</w:t>
      </w:r>
      <w:r w:rsidR="006B0297">
        <w:rPr>
          <w:b/>
          <w:bCs/>
        </w:rPr>
        <w:t xml:space="preserve"> </w:t>
      </w:r>
      <w:r w:rsidR="00FE21A6">
        <w:rPr>
          <w:b/>
          <w:bCs/>
        </w:rPr>
        <w:t>and</w:t>
      </w:r>
      <w:r w:rsidR="006B0297">
        <w:rPr>
          <w:b/>
          <w:bCs/>
        </w:rPr>
        <w:t xml:space="preserve"> priorities</w:t>
      </w:r>
      <w:r w:rsidR="00FE21A6">
        <w:rPr>
          <w:b/>
          <w:bCs/>
        </w:rPr>
        <w:t xml:space="preserve"> going forward</w:t>
      </w:r>
    </w:p>
    <w:p w14:paraId="403C002D" w14:textId="77777777" w:rsidR="00FE47F3" w:rsidRPr="00402B40" w:rsidRDefault="00FE47F3" w:rsidP="002F2061">
      <w:pPr>
        <w:pStyle w:val="Boardparagraph"/>
        <w:ind w:left="357" w:hanging="357"/>
      </w:pPr>
      <w:r w:rsidRPr="00402B40">
        <w:t xml:space="preserve">Based on the discussion above, </w:t>
      </w:r>
      <w:r>
        <w:t xml:space="preserve">it can be concluded that </w:t>
      </w:r>
      <w:r w:rsidRPr="00402B40">
        <w:t xml:space="preserve">the </w:t>
      </w:r>
      <w:r>
        <w:t>Response Rate Strategy has had a positive effect in maintaining response rates for the LFS and non-financial surveys in 2019/20. Important factors have included</w:t>
      </w:r>
      <w:r w:rsidRPr="00402B40">
        <w:t>:</w:t>
      </w:r>
    </w:p>
    <w:p w14:paraId="58DFA79F" w14:textId="658475BD" w:rsidR="00FE47F3" w:rsidRPr="00402B40" w:rsidRDefault="00FE47F3" w:rsidP="002F2061">
      <w:pPr>
        <w:pStyle w:val="Boardparagraph"/>
        <w:numPr>
          <w:ilvl w:val="1"/>
          <w:numId w:val="5"/>
        </w:numPr>
        <w:ind w:left="993"/>
      </w:pPr>
      <w:r w:rsidRPr="00402B40">
        <w:t>A focus on improving operational procedures</w:t>
      </w:r>
      <w:r w:rsidR="009067B8">
        <w:t>.</w:t>
      </w:r>
    </w:p>
    <w:p w14:paraId="172E6079" w14:textId="6981F274" w:rsidR="00FE47F3" w:rsidRPr="00402B40" w:rsidRDefault="00FE47F3" w:rsidP="002F2061">
      <w:pPr>
        <w:pStyle w:val="Boardparagraph"/>
        <w:numPr>
          <w:ilvl w:val="1"/>
          <w:numId w:val="5"/>
        </w:numPr>
        <w:ind w:left="993"/>
      </w:pPr>
      <w:r w:rsidRPr="00402B40">
        <w:t xml:space="preserve">A continued investment in the </w:t>
      </w:r>
      <w:r>
        <w:t>culture</w:t>
      </w:r>
      <w:r w:rsidR="009067B8">
        <w:t xml:space="preserve"> and engagement</w:t>
      </w:r>
      <w:r>
        <w:t xml:space="preserve"> of the division.</w:t>
      </w:r>
    </w:p>
    <w:p w14:paraId="6937B009" w14:textId="77777777" w:rsidR="00FE47F3" w:rsidRPr="00402B40" w:rsidRDefault="00FE47F3" w:rsidP="002F2061">
      <w:pPr>
        <w:pStyle w:val="Boardparagraph"/>
        <w:numPr>
          <w:ilvl w:val="1"/>
          <w:numId w:val="5"/>
        </w:numPr>
        <w:ind w:left="993"/>
      </w:pPr>
      <w:r w:rsidRPr="00402B40">
        <w:t>Continuing to offer respondents an unconditional incentive</w:t>
      </w:r>
      <w:r>
        <w:t xml:space="preserve"> to encourage survey participation.</w:t>
      </w:r>
    </w:p>
    <w:p w14:paraId="18693E4F" w14:textId="2BC9ED03" w:rsidR="00FE47F3" w:rsidRPr="00402B40" w:rsidRDefault="00FE47F3" w:rsidP="00FE47F3">
      <w:pPr>
        <w:pStyle w:val="Boardparagraph"/>
      </w:pPr>
      <w:r w:rsidRPr="00402B40">
        <w:t>Th</w:t>
      </w:r>
      <w:r>
        <w:t xml:space="preserve">ere are continuing concerns about </w:t>
      </w:r>
      <w:r w:rsidRPr="00402B40">
        <w:t xml:space="preserve">response rates </w:t>
      </w:r>
      <w:r w:rsidR="00BF208F">
        <w:t xml:space="preserve">for financial surveys </w:t>
      </w:r>
      <w:r>
        <w:t>and about the implications of the COVID-19 pandemic for future data collection practices</w:t>
      </w:r>
      <w:r w:rsidRPr="00402B40">
        <w:t>.</w:t>
      </w:r>
      <w:r>
        <w:t xml:space="preserve"> </w:t>
      </w:r>
    </w:p>
    <w:p w14:paraId="3B08F02B" w14:textId="77777777" w:rsidR="00FE47F3" w:rsidRDefault="00FE47F3" w:rsidP="00FE47F3">
      <w:pPr>
        <w:pStyle w:val="Boardparagraph"/>
      </w:pPr>
      <w:r>
        <w:t>The reprioritised Response Rate Strategy will be likely to include:</w:t>
      </w:r>
    </w:p>
    <w:p w14:paraId="60F284C0" w14:textId="38358486" w:rsidR="00FE47F3" w:rsidRDefault="00FE47F3" w:rsidP="002F2061">
      <w:pPr>
        <w:pStyle w:val="Boardparagraph"/>
        <w:numPr>
          <w:ilvl w:val="1"/>
          <w:numId w:val="5"/>
        </w:numPr>
        <w:ind w:left="993"/>
      </w:pPr>
      <w:r>
        <w:t>Exploring new data collection practices, such as ‘</w:t>
      </w:r>
      <w:r w:rsidR="008C215B">
        <w:t>K</w:t>
      </w:r>
      <w:r>
        <w:t>nock</w:t>
      </w:r>
      <w:r w:rsidR="008C215B">
        <w:t>-to-N</w:t>
      </w:r>
      <w:r>
        <w:t>udge’, which are safe in the context of COVID-19, to encourage phone or online participation while face-to-face, in-home interviewing is not possible</w:t>
      </w:r>
    </w:p>
    <w:p w14:paraId="52DB9F80" w14:textId="77777777" w:rsidR="00FE47F3" w:rsidRDefault="00FE47F3" w:rsidP="002F2061">
      <w:pPr>
        <w:pStyle w:val="Boardparagraph"/>
        <w:numPr>
          <w:ilvl w:val="1"/>
          <w:numId w:val="5"/>
        </w:numPr>
        <w:ind w:left="993"/>
      </w:pPr>
      <w:r>
        <w:t xml:space="preserve">Exploring new sources of telephone numbers (or other respondent contact details) </w:t>
      </w:r>
    </w:p>
    <w:p w14:paraId="4E82E4F7" w14:textId="77777777" w:rsidR="00FE47F3" w:rsidRDefault="00FE47F3" w:rsidP="002F2061">
      <w:pPr>
        <w:pStyle w:val="Boardparagraph"/>
        <w:numPr>
          <w:ilvl w:val="1"/>
          <w:numId w:val="5"/>
        </w:numPr>
        <w:ind w:left="993"/>
      </w:pPr>
      <w:r>
        <w:t>Re-evaluating the requirement for incentives for new data collection practices</w:t>
      </w:r>
    </w:p>
    <w:p w14:paraId="0E96AE0D" w14:textId="77777777" w:rsidR="00FE47F3" w:rsidRDefault="00FE47F3" w:rsidP="002F2061">
      <w:pPr>
        <w:pStyle w:val="Boardparagraph"/>
        <w:numPr>
          <w:ilvl w:val="1"/>
          <w:numId w:val="5"/>
        </w:numPr>
        <w:ind w:left="993"/>
      </w:pPr>
      <w:r>
        <w:t>Fast-tracking the transition of financial surveys to online mode</w:t>
      </w:r>
    </w:p>
    <w:p w14:paraId="459FE5CA" w14:textId="77777777" w:rsidR="00FE47F3" w:rsidRPr="00402B40" w:rsidRDefault="00FE47F3" w:rsidP="002F2061">
      <w:pPr>
        <w:pStyle w:val="Boardparagraph"/>
        <w:numPr>
          <w:ilvl w:val="1"/>
          <w:numId w:val="5"/>
        </w:numPr>
        <w:ind w:left="993"/>
      </w:pPr>
      <w:r>
        <w:t xml:space="preserve">Maximising the benefits of ONS’s raised profile </w:t>
      </w:r>
    </w:p>
    <w:p w14:paraId="388A5D75" w14:textId="77777777" w:rsidR="002F2061" w:rsidRDefault="002F2061" w:rsidP="002F2061">
      <w:pPr>
        <w:spacing w:after="0"/>
        <w:rPr>
          <w:rFonts w:ascii="Arial" w:hAnsi="Arial" w:cs="Arial"/>
          <w:b/>
          <w:bCs/>
        </w:rPr>
      </w:pPr>
    </w:p>
    <w:p w14:paraId="794013D4" w14:textId="4C2813BF" w:rsidR="0058554B" w:rsidRPr="009067B8" w:rsidRDefault="006B0297" w:rsidP="002F2061">
      <w:pPr>
        <w:spacing w:after="0"/>
        <w:rPr>
          <w:rFonts w:ascii="Arial" w:hAnsi="Arial" w:cs="Arial"/>
          <w:b/>
          <w:bCs/>
        </w:rPr>
      </w:pPr>
      <w:r w:rsidRPr="009067B8">
        <w:rPr>
          <w:rFonts w:ascii="Arial" w:hAnsi="Arial" w:cs="Arial"/>
          <w:b/>
          <w:bCs/>
        </w:rPr>
        <w:t>Discussion</w:t>
      </w:r>
    </w:p>
    <w:p w14:paraId="4C694845" w14:textId="596DE22F" w:rsidR="006B0297" w:rsidRPr="009067B8" w:rsidRDefault="006B0297" w:rsidP="00C52A6F">
      <w:pPr>
        <w:rPr>
          <w:rFonts w:ascii="Arial" w:hAnsi="Arial" w:cs="Arial"/>
        </w:rPr>
      </w:pPr>
      <w:r w:rsidRPr="009067B8">
        <w:rPr>
          <w:rFonts w:ascii="Arial" w:hAnsi="Arial" w:cs="Arial"/>
        </w:rPr>
        <w:t xml:space="preserve">We would like to discuss with </w:t>
      </w:r>
      <w:r w:rsidR="00FE21A6" w:rsidRPr="009067B8">
        <w:rPr>
          <w:rFonts w:ascii="Arial" w:hAnsi="Arial" w:cs="Arial"/>
        </w:rPr>
        <w:t>conference attendees the following questions:</w:t>
      </w:r>
      <w:bookmarkStart w:id="0" w:name="_GoBack"/>
      <w:bookmarkEnd w:id="0"/>
    </w:p>
    <w:p w14:paraId="678B0F8C" w14:textId="76363280" w:rsidR="00FE21A6" w:rsidRPr="009067B8" w:rsidRDefault="00FE21A6" w:rsidP="002F2061">
      <w:pPr>
        <w:pStyle w:val="ListParagraph"/>
        <w:numPr>
          <w:ilvl w:val="0"/>
          <w:numId w:val="28"/>
        </w:numPr>
        <w:ind w:left="993" w:hanging="567"/>
        <w:rPr>
          <w:rFonts w:ascii="Arial" w:hAnsi="Arial" w:cs="Arial"/>
        </w:rPr>
      </w:pPr>
      <w:r w:rsidRPr="009067B8">
        <w:rPr>
          <w:rFonts w:ascii="Arial" w:hAnsi="Arial" w:cs="Arial"/>
        </w:rPr>
        <w:t>What are other organisations</w:t>
      </w:r>
      <w:r w:rsidR="0060778F">
        <w:rPr>
          <w:rFonts w:ascii="Arial" w:hAnsi="Arial" w:cs="Arial"/>
        </w:rPr>
        <w:t>’</w:t>
      </w:r>
      <w:r w:rsidRPr="009067B8">
        <w:rPr>
          <w:rFonts w:ascii="Arial" w:hAnsi="Arial" w:cs="Arial"/>
        </w:rPr>
        <w:t xml:space="preserve"> experiences of the impact of the pandemic on response rates?</w:t>
      </w:r>
    </w:p>
    <w:p w14:paraId="3C6F756A" w14:textId="77777777" w:rsidR="00FE21A6" w:rsidRPr="009067B8" w:rsidRDefault="00FE21A6" w:rsidP="002F2061">
      <w:pPr>
        <w:pStyle w:val="ListParagraph"/>
        <w:numPr>
          <w:ilvl w:val="0"/>
          <w:numId w:val="28"/>
        </w:numPr>
        <w:ind w:left="993" w:hanging="567"/>
        <w:rPr>
          <w:rFonts w:ascii="Arial" w:hAnsi="Arial" w:cs="Arial"/>
        </w:rPr>
      </w:pPr>
      <w:r w:rsidRPr="009067B8">
        <w:rPr>
          <w:rFonts w:ascii="Arial" w:hAnsi="Arial" w:cs="Arial"/>
        </w:rPr>
        <w:t>What are other organisations prioritising in their recovery from changes to data collection due to COVID-19?</w:t>
      </w:r>
    </w:p>
    <w:p w14:paraId="6E6FEEB2" w14:textId="3AC1214F" w:rsidR="00FE21A6" w:rsidRPr="009067B8" w:rsidRDefault="007D3B1F" w:rsidP="002F2061">
      <w:pPr>
        <w:pStyle w:val="ListParagraph"/>
        <w:numPr>
          <w:ilvl w:val="0"/>
          <w:numId w:val="28"/>
        </w:numPr>
        <w:ind w:left="993" w:hanging="567"/>
        <w:rPr>
          <w:rFonts w:ascii="Arial" w:hAnsi="Arial" w:cs="Arial"/>
        </w:rPr>
      </w:pPr>
      <w:r>
        <w:rPr>
          <w:rFonts w:ascii="Arial" w:hAnsi="Arial" w:cs="Arial"/>
        </w:rPr>
        <w:t>In a mixed mode environment, a</w:t>
      </w:r>
      <w:r w:rsidR="00FE21A6" w:rsidRPr="009067B8">
        <w:rPr>
          <w:rFonts w:ascii="Arial" w:hAnsi="Arial" w:cs="Arial"/>
        </w:rPr>
        <w:t>re response rates the best indicator for measuring the success of survey data collection? Are there other measures that are better?</w:t>
      </w:r>
    </w:p>
    <w:p w14:paraId="657BFCB9" w14:textId="25DD0491" w:rsidR="00A0048E" w:rsidRDefault="00A0048E"/>
    <w:sectPr w:rsidR="00A0048E" w:rsidSect="00B319D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33E4A" w14:textId="77777777" w:rsidR="00FE47F3" w:rsidRDefault="00FE47F3" w:rsidP="00FE47F3">
      <w:pPr>
        <w:spacing w:after="0" w:line="240" w:lineRule="auto"/>
      </w:pPr>
      <w:r>
        <w:separator/>
      </w:r>
    </w:p>
  </w:endnote>
  <w:endnote w:type="continuationSeparator" w:id="0">
    <w:p w14:paraId="3494F712" w14:textId="77777777" w:rsidR="00FE47F3" w:rsidRDefault="00FE47F3" w:rsidP="00FE4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E3141" w14:textId="77777777" w:rsidR="00FE47F3" w:rsidRDefault="00FE47F3" w:rsidP="00FE47F3">
      <w:pPr>
        <w:spacing w:after="0" w:line="240" w:lineRule="auto"/>
      </w:pPr>
      <w:r>
        <w:separator/>
      </w:r>
    </w:p>
  </w:footnote>
  <w:footnote w:type="continuationSeparator" w:id="0">
    <w:p w14:paraId="2CB91F82" w14:textId="77777777" w:rsidR="00FE47F3" w:rsidRDefault="00FE47F3" w:rsidP="00FE47F3">
      <w:pPr>
        <w:spacing w:after="0" w:line="240" w:lineRule="auto"/>
      </w:pPr>
      <w:r>
        <w:continuationSeparator/>
      </w:r>
    </w:p>
  </w:footnote>
  <w:footnote w:id="1">
    <w:p w14:paraId="223F51A6" w14:textId="77777777" w:rsidR="00FE47F3" w:rsidRPr="00B0186B" w:rsidRDefault="00FE47F3" w:rsidP="00FE47F3">
      <w:pPr>
        <w:pStyle w:val="FootnoteText"/>
        <w:spacing w:line="240" w:lineRule="auto"/>
        <w:rPr>
          <w:rFonts w:ascii="Arial" w:hAnsi="Arial" w:cs="Arial"/>
        </w:rPr>
      </w:pPr>
      <w:r w:rsidRPr="00B0186B">
        <w:rPr>
          <w:rStyle w:val="FootnoteReference"/>
          <w:rFonts w:ascii="Arial" w:hAnsi="Arial" w:cs="Arial"/>
        </w:rPr>
        <w:footnoteRef/>
      </w:r>
      <w:r w:rsidRPr="00B0186B">
        <w:rPr>
          <w:rFonts w:ascii="Arial" w:hAnsi="Arial" w:cs="Arial"/>
        </w:rPr>
        <w:t xml:space="preserve"> de Leeuw, E., &amp; de </w:t>
      </w:r>
      <w:proofErr w:type="spellStart"/>
      <w:r w:rsidRPr="00B0186B">
        <w:rPr>
          <w:rFonts w:ascii="Arial" w:hAnsi="Arial" w:cs="Arial"/>
        </w:rPr>
        <w:t>Heer</w:t>
      </w:r>
      <w:proofErr w:type="spellEnd"/>
      <w:r w:rsidRPr="00B0186B">
        <w:rPr>
          <w:rFonts w:ascii="Arial" w:hAnsi="Arial" w:cs="Arial"/>
        </w:rPr>
        <w:t xml:space="preserve">, W., (2002). Trends in Household Survey Nonresponse: A Longitudinal and International Comparison. In R.M. Groves, D.A. </w:t>
      </w:r>
      <w:proofErr w:type="spellStart"/>
      <w:r w:rsidRPr="00B0186B">
        <w:rPr>
          <w:rFonts w:ascii="Arial" w:hAnsi="Arial" w:cs="Arial"/>
        </w:rPr>
        <w:t>Dillman</w:t>
      </w:r>
      <w:proofErr w:type="spellEnd"/>
      <w:r w:rsidRPr="00B0186B">
        <w:rPr>
          <w:rFonts w:ascii="Arial" w:hAnsi="Arial" w:cs="Arial"/>
        </w:rPr>
        <w:t xml:space="preserve">, J.L. </w:t>
      </w:r>
      <w:proofErr w:type="spellStart"/>
      <w:r w:rsidRPr="00B0186B">
        <w:rPr>
          <w:rFonts w:ascii="Arial" w:hAnsi="Arial" w:cs="Arial"/>
        </w:rPr>
        <w:t>Eltinge</w:t>
      </w:r>
      <w:proofErr w:type="spellEnd"/>
      <w:r w:rsidRPr="00B0186B">
        <w:rPr>
          <w:rFonts w:ascii="Arial" w:hAnsi="Arial" w:cs="Arial"/>
        </w:rPr>
        <w:t>, R.J.A. Little (Eds) Survey Nonresponse, p.p. 41-54 New York: John Wiley &amp; Sons.</w:t>
      </w:r>
    </w:p>
  </w:footnote>
  <w:footnote w:id="2">
    <w:p w14:paraId="722C09EB" w14:textId="77777777" w:rsidR="00FE47F3" w:rsidRPr="0058554B" w:rsidRDefault="00FE47F3" w:rsidP="00FE47F3">
      <w:pPr>
        <w:pStyle w:val="Heading2"/>
        <w:shd w:val="clear" w:color="auto" w:fill="FFFFFF"/>
        <w:spacing w:before="0" w:after="300" w:line="240" w:lineRule="auto"/>
        <w:rPr>
          <w:sz w:val="20"/>
          <w:szCs w:val="20"/>
        </w:rPr>
      </w:pPr>
      <w:r w:rsidRPr="00B0186B">
        <w:rPr>
          <w:rStyle w:val="FootnoteReference"/>
          <w:rFonts w:ascii="Arial" w:hAnsi="Arial" w:cs="Arial"/>
          <w:color w:val="auto"/>
          <w:sz w:val="20"/>
          <w:szCs w:val="20"/>
        </w:rPr>
        <w:footnoteRef/>
      </w:r>
      <w:r w:rsidRPr="00B0186B">
        <w:rPr>
          <w:rFonts w:ascii="Arial" w:hAnsi="Arial" w:cs="Arial"/>
          <w:color w:val="auto"/>
          <w:sz w:val="20"/>
          <w:szCs w:val="20"/>
        </w:rPr>
        <w:t xml:space="preserve"> de Leeuw, E., </w:t>
      </w:r>
      <w:proofErr w:type="spellStart"/>
      <w:r w:rsidRPr="00B0186B">
        <w:rPr>
          <w:rFonts w:ascii="Arial" w:hAnsi="Arial" w:cs="Arial"/>
          <w:color w:val="auto"/>
          <w:sz w:val="20"/>
          <w:szCs w:val="20"/>
        </w:rPr>
        <w:t>Hox</w:t>
      </w:r>
      <w:proofErr w:type="spellEnd"/>
      <w:r w:rsidRPr="00B0186B">
        <w:rPr>
          <w:rFonts w:ascii="Arial" w:hAnsi="Arial" w:cs="Arial"/>
          <w:color w:val="auto"/>
          <w:sz w:val="20"/>
          <w:szCs w:val="20"/>
        </w:rPr>
        <w:t xml:space="preserve">, J., &amp; Luiten, A., (2018). </w:t>
      </w:r>
      <w:r w:rsidRPr="00B0186B">
        <w:rPr>
          <w:rFonts w:ascii="Arial" w:hAnsi="Arial" w:cs="Arial"/>
          <w:color w:val="auto"/>
          <w:spacing w:val="-10"/>
          <w:sz w:val="20"/>
          <w:szCs w:val="20"/>
        </w:rPr>
        <w:t xml:space="preserve">International Nonresponse Trends across Countries and Years: An analysis of 36 years of Labour Force </w:t>
      </w:r>
      <w:r w:rsidRPr="0058554B">
        <w:rPr>
          <w:rFonts w:ascii="Arial" w:hAnsi="Arial" w:cs="Arial"/>
          <w:color w:val="auto"/>
          <w:spacing w:val="-10"/>
          <w:sz w:val="20"/>
          <w:szCs w:val="20"/>
        </w:rPr>
        <w:t xml:space="preserve">Survey data </w:t>
      </w:r>
      <w:hyperlink r:id="rId1" w:history="1">
        <w:r w:rsidRPr="0058554B">
          <w:rPr>
            <w:rStyle w:val="Hyperlink"/>
            <w:rFonts w:ascii="Arial" w:eastAsia="Calibri" w:hAnsi="Arial" w:cs="Arial"/>
            <w:color w:val="auto"/>
            <w:sz w:val="20"/>
            <w:szCs w:val="20"/>
          </w:rPr>
          <w:t>https://surveyinsights.org/?p=10452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7783E08"/>
    <w:lvl w:ilvl="0">
      <w:numFmt w:val="bullet"/>
      <w:pStyle w:val="Boardbullets"/>
      <w:lvlText w:val="*"/>
      <w:lvlJc w:val="left"/>
    </w:lvl>
  </w:abstractNum>
  <w:abstractNum w:abstractNumId="1" w15:restartNumberingAfterBreak="0">
    <w:nsid w:val="004A3FCF"/>
    <w:multiLevelType w:val="multilevel"/>
    <w:tmpl w:val="4D2CF9EA"/>
    <w:lvl w:ilvl="0">
      <w:start w:val="1"/>
      <w:numFmt w:val="lowerRoman"/>
      <w:lvlText w:val="%1."/>
      <w:lvlJc w:val="center"/>
      <w:pPr>
        <w:ind w:left="1080" w:hanging="720"/>
      </w:pPr>
      <w:rPr>
        <w:rFonts w:hint="default"/>
        <w:i w:val="0"/>
        <w:iCs/>
      </w:rPr>
    </w:lvl>
    <w:lvl w:ilvl="1">
      <w:start w:val="1"/>
      <w:numFmt w:val="lowerRoman"/>
      <w:lvlText w:val="%2."/>
      <w:lvlJc w:val="right"/>
      <w:pPr>
        <w:ind w:left="1800" w:hanging="720"/>
      </w:pPr>
      <w:rPr>
        <w:rFonts w:hint="default"/>
      </w:rPr>
    </w:lvl>
    <w:lvl w:ilvl="2">
      <w:start w:val="1"/>
      <w:numFmt w:val="decimal"/>
      <w:lvlText w:val="%3."/>
      <w:lvlJc w:val="left"/>
      <w:pPr>
        <w:ind w:left="2520" w:hanging="720"/>
      </w:pPr>
      <w:rPr>
        <w:rFonts w:hint="default"/>
      </w:rPr>
    </w:lvl>
    <w:lvl w:ilvl="3">
      <w:start w:val="1"/>
      <w:numFmt w:val="lowerLetter"/>
      <w:lvlText w:val="%4)"/>
      <w:lvlJc w:val="left"/>
      <w:pPr>
        <w:ind w:left="3240" w:hanging="720"/>
      </w:pPr>
      <w:rPr>
        <w:rFonts w:hint="default"/>
      </w:rPr>
    </w:lvl>
    <w:lvl w:ilvl="4">
      <w:start w:val="1"/>
      <w:numFmt w:val="decimal"/>
      <w:lvlText w:val="(%5)"/>
      <w:lvlJc w:val="left"/>
      <w:pPr>
        <w:ind w:left="3960" w:hanging="720"/>
      </w:pPr>
      <w:rPr>
        <w:rFonts w:hint="default"/>
      </w:rPr>
    </w:lvl>
    <w:lvl w:ilvl="5">
      <w:start w:val="1"/>
      <w:numFmt w:val="lowerLetter"/>
      <w:lvlText w:val="(%6)"/>
      <w:lvlJc w:val="left"/>
      <w:pPr>
        <w:ind w:left="4680" w:hanging="720"/>
      </w:pPr>
      <w:rPr>
        <w:rFonts w:hint="default"/>
      </w:rPr>
    </w:lvl>
    <w:lvl w:ilvl="6">
      <w:start w:val="1"/>
      <w:numFmt w:val="lowerRoman"/>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left"/>
      <w:pPr>
        <w:ind w:left="6840" w:hanging="720"/>
      </w:pPr>
      <w:rPr>
        <w:rFonts w:hint="default"/>
      </w:rPr>
    </w:lvl>
  </w:abstractNum>
  <w:abstractNum w:abstractNumId="2" w15:restartNumberingAfterBreak="0">
    <w:nsid w:val="01E277E7"/>
    <w:multiLevelType w:val="hybridMultilevel"/>
    <w:tmpl w:val="3966686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E655E0"/>
    <w:multiLevelType w:val="hybridMultilevel"/>
    <w:tmpl w:val="B140895C"/>
    <w:lvl w:ilvl="0" w:tplc="14264E92">
      <w:start w:val="1"/>
      <w:numFmt w:val="decimal"/>
      <w:pStyle w:val="Boardparagraph"/>
      <w:lvlText w:val="%1."/>
      <w:lvlJc w:val="left"/>
      <w:pPr>
        <w:ind w:left="360" w:hanging="360"/>
      </w:pPr>
      <w:rPr>
        <w:rFonts w:hint="default"/>
        <w:b w:val="0"/>
        <w:i w:val="0"/>
      </w:rPr>
    </w:lvl>
    <w:lvl w:ilvl="1" w:tplc="13702C60">
      <w:start w:val="1"/>
      <w:numFmt w:val="lowerRoman"/>
      <w:lvlText w:val="%2."/>
      <w:lvlJc w:val="right"/>
      <w:pPr>
        <w:ind w:left="1080" w:hanging="360"/>
      </w:pPr>
      <w:rPr>
        <w:b/>
        <w:bCs/>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663628"/>
    <w:multiLevelType w:val="hybridMultilevel"/>
    <w:tmpl w:val="B2586A4E"/>
    <w:lvl w:ilvl="0" w:tplc="D2D83894">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7770F8"/>
    <w:multiLevelType w:val="hybridMultilevel"/>
    <w:tmpl w:val="71009EC2"/>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F73D5E"/>
    <w:multiLevelType w:val="hybridMultilevel"/>
    <w:tmpl w:val="23A245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933675"/>
    <w:multiLevelType w:val="hybridMultilevel"/>
    <w:tmpl w:val="E8F2302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49644A9"/>
    <w:multiLevelType w:val="hybridMultilevel"/>
    <w:tmpl w:val="920C50F0"/>
    <w:lvl w:ilvl="0" w:tplc="0809001B">
      <w:start w:val="1"/>
      <w:numFmt w:val="lowerRoman"/>
      <w:lvlText w:val="%1."/>
      <w:lvlJc w:val="right"/>
      <w:pPr>
        <w:ind w:left="720" w:hanging="360"/>
      </w:pPr>
      <w:rPr>
        <w:rFonts w:hint="default"/>
        <w:b w:val="0"/>
        <w:i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AE5663"/>
    <w:multiLevelType w:val="multilevel"/>
    <w:tmpl w:val="161C8C5E"/>
    <w:lvl w:ilvl="0">
      <w:start w:val="1"/>
      <w:numFmt w:val="lowerRoman"/>
      <w:lvlText w:val="%1."/>
      <w:lvlJc w:val="center"/>
      <w:pPr>
        <w:ind w:left="720" w:hanging="720"/>
      </w:pPr>
      <w:rPr>
        <w:rFonts w:hint="default"/>
        <w:i/>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0" w15:restartNumberingAfterBreak="0">
    <w:nsid w:val="2D8D4178"/>
    <w:multiLevelType w:val="multilevel"/>
    <w:tmpl w:val="67A81916"/>
    <w:lvl w:ilvl="0">
      <w:start w:val="1"/>
      <w:numFmt w:val="lowerRoman"/>
      <w:lvlText w:val="%1."/>
      <w:lvlJc w:val="righ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15:restartNumberingAfterBreak="0">
    <w:nsid w:val="2DD73A18"/>
    <w:multiLevelType w:val="hybridMultilevel"/>
    <w:tmpl w:val="DF2E78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14E3E6F"/>
    <w:multiLevelType w:val="multilevel"/>
    <w:tmpl w:val="E258F5AC"/>
    <w:lvl w:ilvl="0">
      <w:start w:val="1"/>
      <w:numFmt w:val="lowerRoman"/>
      <w:pStyle w:val="Boardlist"/>
      <w:lvlText w:val="%1."/>
      <w:lvlJc w:val="center"/>
      <w:pPr>
        <w:ind w:left="720" w:hanging="720"/>
      </w:pPr>
      <w:rPr>
        <w:rFonts w:hint="default"/>
        <w:i w:val="0"/>
        <w:iCs/>
      </w:rPr>
    </w:lvl>
    <w:lvl w:ilvl="1">
      <w:start w:val="1"/>
      <w:numFmt w:val="bullet"/>
      <w:lvlText w:val=""/>
      <w:lvlJc w:val="left"/>
      <w:pPr>
        <w:ind w:left="1440" w:hanging="720"/>
      </w:pPr>
      <w:rPr>
        <w:rFonts w:ascii="Symbol" w:hAnsi="Symbol"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3" w15:restartNumberingAfterBreak="0">
    <w:nsid w:val="34543DCF"/>
    <w:multiLevelType w:val="multilevel"/>
    <w:tmpl w:val="DA9E8B64"/>
    <w:lvl w:ilvl="0">
      <w:start w:val="1"/>
      <w:numFmt w:val="lowerRoman"/>
      <w:lvlText w:val="%1."/>
      <w:lvlJc w:val="center"/>
      <w:pPr>
        <w:ind w:left="720" w:hanging="720"/>
      </w:pPr>
      <w:rPr>
        <w:rFonts w:hint="default"/>
        <w:i w:val="0"/>
        <w:iCs/>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4" w15:restartNumberingAfterBreak="0">
    <w:nsid w:val="3D4830B6"/>
    <w:multiLevelType w:val="hybridMultilevel"/>
    <w:tmpl w:val="35241EA8"/>
    <w:lvl w:ilvl="0" w:tplc="307C6424">
      <w:start w:val="1"/>
      <w:numFmt w:val="bullet"/>
      <w:lvlText w:val=""/>
      <w:lvlJc w:val="left"/>
      <w:pPr>
        <w:ind w:left="720" w:hanging="360"/>
      </w:pPr>
      <w:rPr>
        <w:rFonts w:ascii="Wingdings" w:eastAsia="Calibri"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402AF7"/>
    <w:multiLevelType w:val="hybridMultilevel"/>
    <w:tmpl w:val="1AEA0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9E1802"/>
    <w:multiLevelType w:val="multilevel"/>
    <w:tmpl w:val="81704406"/>
    <w:lvl w:ilvl="0">
      <w:start w:val="1"/>
      <w:numFmt w:val="lowerRoman"/>
      <w:lvlText w:val="%1."/>
      <w:lvlJc w:val="right"/>
      <w:pPr>
        <w:ind w:left="1440" w:hanging="720"/>
      </w:pPr>
      <w:rPr>
        <w:rFonts w:hint="default"/>
        <w:i w:val="0"/>
        <w:iCs/>
      </w:rPr>
    </w:lvl>
    <w:lvl w:ilvl="1">
      <w:start w:val="1"/>
      <w:numFmt w:val="lowerRoman"/>
      <w:lvlText w:val="%2."/>
      <w:lvlJc w:val="right"/>
      <w:pPr>
        <w:ind w:left="2160" w:hanging="720"/>
      </w:pPr>
      <w:rPr>
        <w:rFonts w:hint="default"/>
      </w:rPr>
    </w:lvl>
    <w:lvl w:ilvl="2">
      <w:start w:val="1"/>
      <w:numFmt w:val="decimal"/>
      <w:lvlText w:val="%3."/>
      <w:lvlJc w:val="left"/>
      <w:pPr>
        <w:ind w:left="2880" w:hanging="720"/>
      </w:pPr>
      <w:rPr>
        <w:rFonts w:hint="default"/>
      </w:rPr>
    </w:lvl>
    <w:lvl w:ilvl="3">
      <w:start w:val="1"/>
      <w:numFmt w:val="lowerLetter"/>
      <w:lvlText w:val="%4)"/>
      <w:lvlJc w:val="left"/>
      <w:pPr>
        <w:ind w:left="3600" w:hanging="720"/>
      </w:pPr>
      <w:rPr>
        <w:rFonts w:hint="default"/>
      </w:rPr>
    </w:lvl>
    <w:lvl w:ilvl="4">
      <w:start w:val="1"/>
      <w:numFmt w:val="decimal"/>
      <w:lvlText w:val="(%5)"/>
      <w:lvlJc w:val="left"/>
      <w:pPr>
        <w:ind w:left="4320" w:hanging="720"/>
      </w:pPr>
      <w:rPr>
        <w:rFonts w:hint="default"/>
      </w:rPr>
    </w:lvl>
    <w:lvl w:ilvl="5">
      <w:start w:val="1"/>
      <w:numFmt w:val="lowerLetter"/>
      <w:lvlText w:val="(%6)"/>
      <w:lvlJc w:val="left"/>
      <w:pPr>
        <w:ind w:left="5040" w:hanging="720"/>
      </w:pPr>
      <w:rPr>
        <w:rFonts w:hint="default"/>
      </w:rPr>
    </w:lvl>
    <w:lvl w:ilvl="6">
      <w:start w:val="1"/>
      <w:numFmt w:val="lowerRoman"/>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17" w15:restartNumberingAfterBreak="0">
    <w:nsid w:val="46242801"/>
    <w:multiLevelType w:val="hybridMultilevel"/>
    <w:tmpl w:val="A2320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856489"/>
    <w:multiLevelType w:val="multilevel"/>
    <w:tmpl w:val="3410D0D2"/>
    <w:lvl w:ilvl="0">
      <w:start w:val="1"/>
      <w:numFmt w:val="lowerRoman"/>
      <w:lvlText w:val="%1."/>
      <w:lvlJc w:val="center"/>
      <w:pPr>
        <w:ind w:left="720" w:hanging="720"/>
      </w:pPr>
      <w:rPr>
        <w:rFonts w:hint="default"/>
        <w:i w:val="0"/>
        <w:iCs/>
      </w:rPr>
    </w:lvl>
    <w:lvl w:ilvl="1">
      <w:start w:val="1"/>
      <w:numFmt w:val="lowerRoman"/>
      <w:lvlText w:val="%2."/>
      <w:lvlJc w:val="righ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9" w15:restartNumberingAfterBreak="0">
    <w:nsid w:val="75050B92"/>
    <w:multiLevelType w:val="hybridMultilevel"/>
    <w:tmpl w:val="08E44FA2"/>
    <w:lvl w:ilvl="0" w:tplc="0809001B">
      <w:start w:val="1"/>
      <w:numFmt w:val="lowerRoman"/>
      <w:lvlText w:val="%1."/>
      <w:lvlJc w:val="right"/>
      <w:pPr>
        <w:ind w:left="720" w:hanging="360"/>
      </w:pPr>
      <w:rPr>
        <w:rFonts w:hint="default"/>
        <w:b w:val="0"/>
        <w:i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6607DA"/>
    <w:multiLevelType w:val="hybridMultilevel"/>
    <w:tmpl w:val="D08068A2"/>
    <w:lvl w:ilvl="0" w:tplc="4412FCC0">
      <w:start w:val="1"/>
      <w:numFmt w:val="decimal"/>
      <w:lvlText w:val="%1."/>
      <w:lvlJc w:val="left"/>
      <w:pPr>
        <w:ind w:left="360" w:hanging="360"/>
      </w:pPr>
      <w:rPr>
        <w:b w:val="0"/>
        <w:i w:val="0"/>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E72367D"/>
    <w:multiLevelType w:val="hybridMultilevel"/>
    <w:tmpl w:val="237CB0BA"/>
    <w:lvl w:ilvl="0" w:tplc="0409001B">
      <w:start w:val="1"/>
      <w:numFmt w:val="lowerRoman"/>
      <w:lvlText w:val="%1."/>
      <w:lvlJc w:val="righ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abstractNumId w:val="7"/>
  </w:num>
  <w:num w:numId="2">
    <w:abstractNumId w:val="17"/>
  </w:num>
  <w:num w:numId="3">
    <w:abstractNumId w:val="0"/>
    <w:lvlOverride w:ilvl="0">
      <w:lvl w:ilvl="0">
        <w:numFmt w:val="bullet"/>
        <w:pStyle w:val="Boardbullets"/>
        <w:lvlText w:val=""/>
        <w:legacy w:legacy="1" w:legacySpace="0" w:legacyIndent="0"/>
        <w:lvlJc w:val="left"/>
        <w:rPr>
          <w:rFonts w:ascii="Symbol" w:hAnsi="Symbol" w:hint="default"/>
          <w:sz w:val="22"/>
        </w:rPr>
      </w:lvl>
    </w:lvlOverride>
  </w:num>
  <w:num w:numId="4">
    <w:abstractNumId w:val="10"/>
  </w:num>
  <w:num w:numId="5">
    <w:abstractNumId w:val="3"/>
  </w:num>
  <w:num w:numId="6">
    <w:abstractNumId w:val="14"/>
  </w:num>
  <w:num w:numId="7">
    <w:abstractNumId w:val="11"/>
  </w:num>
  <w:num w:numId="8">
    <w:abstractNumId w:val="20"/>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num>
  <w:num w:numId="12">
    <w:abstractNumId w:val="3"/>
    <w:lvlOverride w:ilvl="0">
      <w:startOverride w:val="1"/>
    </w:lvlOverride>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5"/>
  </w:num>
  <w:num w:numId="17">
    <w:abstractNumId w:val="4"/>
  </w:num>
  <w:num w:numId="18">
    <w:abstractNumId w:val="2"/>
  </w:num>
  <w:num w:numId="19">
    <w:abstractNumId w:val="18"/>
  </w:num>
  <w:num w:numId="20">
    <w:abstractNumId w:val="13"/>
  </w:num>
  <w:num w:numId="21">
    <w:abstractNumId w:val="5"/>
  </w:num>
  <w:num w:numId="22">
    <w:abstractNumId w:val="3"/>
    <w:lvlOverride w:ilvl="0">
      <w:startOverride w:val="1"/>
    </w:lvlOverride>
  </w:num>
  <w:num w:numId="23">
    <w:abstractNumId w:val="3"/>
    <w:lvlOverride w:ilvl="0">
      <w:startOverride w:val="1"/>
    </w:lvlOverride>
  </w:num>
  <w:num w:numId="24">
    <w:abstractNumId w:val="19"/>
  </w:num>
  <w:num w:numId="25">
    <w:abstractNumId w:val="8"/>
  </w:num>
  <w:num w:numId="26">
    <w:abstractNumId w:val="1"/>
  </w:num>
  <w:num w:numId="27">
    <w:abstractNumId w:val="16"/>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84B"/>
    <w:rsid w:val="00015B6D"/>
    <w:rsid w:val="0023080D"/>
    <w:rsid w:val="002C31DA"/>
    <w:rsid w:val="002F2061"/>
    <w:rsid w:val="00367EAE"/>
    <w:rsid w:val="003D388B"/>
    <w:rsid w:val="0040184B"/>
    <w:rsid w:val="004C17E8"/>
    <w:rsid w:val="00563B95"/>
    <w:rsid w:val="0058554B"/>
    <w:rsid w:val="005E6349"/>
    <w:rsid w:val="0060778F"/>
    <w:rsid w:val="00680E19"/>
    <w:rsid w:val="006B0297"/>
    <w:rsid w:val="006F7A45"/>
    <w:rsid w:val="00763567"/>
    <w:rsid w:val="00763EED"/>
    <w:rsid w:val="007913DE"/>
    <w:rsid w:val="007D3B1F"/>
    <w:rsid w:val="008C215B"/>
    <w:rsid w:val="008C6D1E"/>
    <w:rsid w:val="009067B8"/>
    <w:rsid w:val="009138B4"/>
    <w:rsid w:val="009947A7"/>
    <w:rsid w:val="009E5511"/>
    <w:rsid w:val="00A0048E"/>
    <w:rsid w:val="00A23D60"/>
    <w:rsid w:val="00A51415"/>
    <w:rsid w:val="00A6455F"/>
    <w:rsid w:val="00B319D3"/>
    <w:rsid w:val="00B33863"/>
    <w:rsid w:val="00B9440F"/>
    <w:rsid w:val="00B96346"/>
    <w:rsid w:val="00BF208F"/>
    <w:rsid w:val="00C267B7"/>
    <w:rsid w:val="00C52A6F"/>
    <w:rsid w:val="00D642B1"/>
    <w:rsid w:val="00D860C6"/>
    <w:rsid w:val="00DE73F2"/>
    <w:rsid w:val="00E42C52"/>
    <w:rsid w:val="00E72E53"/>
    <w:rsid w:val="00FE21A6"/>
    <w:rsid w:val="00FE4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068AB06"/>
  <w15:chartTrackingRefBased/>
  <w15:docId w15:val="{D073272F-8510-4E91-8F5E-2E26F4ABD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7F3"/>
    <w:pPr>
      <w:autoSpaceDE w:val="0"/>
      <w:autoSpaceDN w:val="0"/>
      <w:adjustRightInd w:val="0"/>
      <w:spacing w:after="0" w:line="240" w:lineRule="atLeast"/>
      <w:ind w:left="360"/>
      <w:jc w:val="center"/>
      <w:outlineLvl w:val="0"/>
    </w:pPr>
    <w:rPr>
      <w:rFonts w:ascii="Arial" w:eastAsia="Calibri" w:hAnsi="Arial" w:cs="Arial"/>
      <w:b/>
      <w:bCs/>
      <w:color w:val="000000"/>
      <w:sz w:val="24"/>
      <w:szCs w:val="24"/>
    </w:rPr>
  </w:style>
  <w:style w:type="paragraph" w:styleId="Heading2">
    <w:name w:val="heading 2"/>
    <w:basedOn w:val="Normal"/>
    <w:next w:val="Normal"/>
    <w:link w:val="Heading2Char"/>
    <w:uiPriority w:val="9"/>
    <w:unhideWhenUsed/>
    <w:qFormat/>
    <w:rsid w:val="00FE47F3"/>
    <w:pPr>
      <w:keepNext/>
      <w:keepLines/>
      <w:spacing w:before="40" w:after="0" w:line="276" w:lineRule="auto"/>
      <w:outlineLvl w:val="1"/>
    </w:pPr>
    <w:rPr>
      <w:rFonts w:ascii="Cambria" w:eastAsia="Times New Roman" w:hAnsi="Cambria" w:cs="Times New Roman"/>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7F3"/>
    <w:rPr>
      <w:rFonts w:ascii="Arial" w:eastAsia="Calibri" w:hAnsi="Arial" w:cs="Arial"/>
      <w:b/>
      <w:bCs/>
      <w:color w:val="000000"/>
      <w:sz w:val="24"/>
      <w:szCs w:val="24"/>
    </w:rPr>
  </w:style>
  <w:style w:type="character" w:customStyle="1" w:styleId="Heading2Char">
    <w:name w:val="Heading 2 Char"/>
    <w:basedOn w:val="DefaultParagraphFont"/>
    <w:link w:val="Heading2"/>
    <w:uiPriority w:val="9"/>
    <w:rsid w:val="00FE47F3"/>
    <w:rPr>
      <w:rFonts w:ascii="Cambria" w:eastAsia="Times New Roman" w:hAnsi="Cambria" w:cs="Times New Roman"/>
      <w:color w:val="365F91"/>
      <w:sz w:val="26"/>
      <w:szCs w:val="26"/>
    </w:rPr>
  </w:style>
  <w:style w:type="paragraph" w:styleId="ListParagraph">
    <w:name w:val="List Paragraph"/>
    <w:basedOn w:val="Normal"/>
    <w:link w:val="ListParagraphChar"/>
    <w:uiPriority w:val="34"/>
    <w:qFormat/>
    <w:rsid w:val="00FE47F3"/>
    <w:pPr>
      <w:spacing w:after="200" w:line="276" w:lineRule="auto"/>
      <w:ind w:left="720"/>
      <w:contextualSpacing/>
    </w:pPr>
    <w:rPr>
      <w:rFonts w:ascii="Calibri" w:eastAsia="Calibri" w:hAnsi="Calibri" w:cs="Times New Roman"/>
    </w:rPr>
  </w:style>
  <w:style w:type="paragraph" w:styleId="FootnoteText">
    <w:name w:val="footnote text"/>
    <w:basedOn w:val="Normal"/>
    <w:link w:val="FootnoteTextChar"/>
    <w:uiPriority w:val="99"/>
    <w:semiHidden/>
    <w:unhideWhenUsed/>
    <w:rsid w:val="00FE47F3"/>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FE47F3"/>
    <w:rPr>
      <w:rFonts w:ascii="Calibri" w:eastAsia="Calibri" w:hAnsi="Calibri" w:cs="Times New Roman"/>
      <w:sz w:val="20"/>
      <w:szCs w:val="20"/>
    </w:rPr>
  </w:style>
  <w:style w:type="character" w:styleId="FootnoteReference">
    <w:name w:val="footnote reference"/>
    <w:uiPriority w:val="99"/>
    <w:semiHidden/>
    <w:unhideWhenUsed/>
    <w:rsid w:val="00FE47F3"/>
    <w:rPr>
      <w:vertAlign w:val="superscript"/>
    </w:rPr>
  </w:style>
  <w:style w:type="character" w:styleId="Hyperlink">
    <w:name w:val="Hyperlink"/>
    <w:uiPriority w:val="99"/>
    <w:unhideWhenUsed/>
    <w:rsid w:val="00FE47F3"/>
    <w:rPr>
      <w:color w:val="0000FF"/>
      <w:u w:val="single"/>
    </w:rPr>
  </w:style>
  <w:style w:type="paragraph" w:styleId="Title">
    <w:name w:val="Title"/>
    <w:basedOn w:val="Normal"/>
    <w:next w:val="Normal"/>
    <w:link w:val="TitleChar"/>
    <w:uiPriority w:val="10"/>
    <w:qFormat/>
    <w:rsid w:val="00FE47F3"/>
    <w:pPr>
      <w:autoSpaceDE w:val="0"/>
      <w:autoSpaceDN w:val="0"/>
      <w:adjustRightInd w:val="0"/>
      <w:spacing w:after="0" w:line="240" w:lineRule="atLeast"/>
      <w:ind w:left="360"/>
      <w:jc w:val="center"/>
    </w:pPr>
    <w:rPr>
      <w:rFonts w:ascii="Arial" w:eastAsia="Calibri" w:hAnsi="Arial" w:cs="Arial"/>
      <w:b/>
      <w:bCs/>
      <w:i/>
      <w:iCs/>
      <w:color w:val="000000"/>
      <w:sz w:val="24"/>
      <w:szCs w:val="24"/>
    </w:rPr>
  </w:style>
  <w:style w:type="character" w:customStyle="1" w:styleId="TitleChar">
    <w:name w:val="Title Char"/>
    <w:basedOn w:val="DefaultParagraphFont"/>
    <w:link w:val="Title"/>
    <w:uiPriority w:val="10"/>
    <w:rsid w:val="00FE47F3"/>
    <w:rPr>
      <w:rFonts w:ascii="Arial" w:eastAsia="Calibri" w:hAnsi="Arial" w:cs="Arial"/>
      <w:b/>
      <w:bCs/>
      <w:i/>
      <w:iCs/>
      <w:color w:val="000000"/>
      <w:sz w:val="24"/>
      <w:szCs w:val="24"/>
    </w:rPr>
  </w:style>
  <w:style w:type="paragraph" w:customStyle="1" w:styleId="Boardheading">
    <w:name w:val="Board heading"/>
    <w:basedOn w:val="Normal"/>
    <w:link w:val="BoardheadingChar"/>
    <w:qFormat/>
    <w:rsid w:val="00FE47F3"/>
    <w:pPr>
      <w:keepNext/>
      <w:autoSpaceDE w:val="0"/>
      <w:autoSpaceDN w:val="0"/>
      <w:adjustRightInd w:val="0"/>
      <w:spacing w:before="200" w:after="0" w:line="240" w:lineRule="auto"/>
      <w:ind w:left="357" w:hanging="357"/>
    </w:pPr>
    <w:rPr>
      <w:rFonts w:ascii="Arial" w:eastAsia="Calibri" w:hAnsi="Arial" w:cs="Arial"/>
      <w:b/>
      <w:bCs/>
      <w:color w:val="000000"/>
    </w:rPr>
  </w:style>
  <w:style w:type="paragraph" w:customStyle="1" w:styleId="Boardparagraph">
    <w:name w:val="Board paragraph"/>
    <w:basedOn w:val="ListParagraph"/>
    <w:link w:val="BoardparagraphChar"/>
    <w:qFormat/>
    <w:rsid w:val="00FE47F3"/>
    <w:pPr>
      <w:numPr>
        <w:numId w:val="5"/>
      </w:numPr>
      <w:autoSpaceDE w:val="0"/>
      <w:autoSpaceDN w:val="0"/>
      <w:adjustRightInd w:val="0"/>
      <w:spacing w:after="120" w:line="240" w:lineRule="auto"/>
      <w:contextualSpacing w:val="0"/>
    </w:pPr>
    <w:rPr>
      <w:rFonts w:ascii="Arial" w:hAnsi="Arial" w:cs="Arial"/>
      <w:color w:val="000000"/>
    </w:rPr>
  </w:style>
  <w:style w:type="character" w:customStyle="1" w:styleId="BoardheadingChar">
    <w:name w:val="Board heading Char"/>
    <w:link w:val="Boardheading"/>
    <w:rsid w:val="00FE47F3"/>
    <w:rPr>
      <w:rFonts w:ascii="Arial" w:eastAsia="Calibri" w:hAnsi="Arial" w:cs="Arial"/>
      <w:b/>
      <w:bCs/>
      <w:color w:val="000000"/>
    </w:rPr>
  </w:style>
  <w:style w:type="paragraph" w:customStyle="1" w:styleId="Boardlist">
    <w:name w:val="Board list"/>
    <w:basedOn w:val="Normal"/>
    <w:link w:val="BoardlistChar"/>
    <w:qFormat/>
    <w:rsid w:val="00FE47F3"/>
    <w:pPr>
      <w:numPr>
        <w:numId w:val="13"/>
      </w:numPr>
      <w:autoSpaceDE w:val="0"/>
      <w:autoSpaceDN w:val="0"/>
      <w:adjustRightInd w:val="0"/>
      <w:spacing w:after="120" w:line="240" w:lineRule="auto"/>
      <w:contextualSpacing/>
    </w:pPr>
    <w:rPr>
      <w:rFonts w:ascii="Arial" w:eastAsia="Calibri" w:hAnsi="Arial" w:cs="Arial"/>
      <w:color w:val="000000"/>
    </w:rPr>
  </w:style>
  <w:style w:type="character" w:customStyle="1" w:styleId="ListParagraphChar">
    <w:name w:val="List Paragraph Char"/>
    <w:link w:val="ListParagraph"/>
    <w:uiPriority w:val="34"/>
    <w:rsid w:val="00FE47F3"/>
    <w:rPr>
      <w:rFonts w:ascii="Calibri" w:eastAsia="Calibri" w:hAnsi="Calibri" w:cs="Times New Roman"/>
    </w:rPr>
  </w:style>
  <w:style w:type="character" w:customStyle="1" w:styleId="BoardparagraphChar">
    <w:name w:val="Board paragraph Char"/>
    <w:basedOn w:val="ListParagraphChar"/>
    <w:link w:val="Boardparagraph"/>
    <w:rsid w:val="00FE47F3"/>
    <w:rPr>
      <w:rFonts w:ascii="Arial" w:eastAsia="Calibri" w:hAnsi="Arial" w:cs="Arial"/>
      <w:color w:val="000000"/>
    </w:rPr>
  </w:style>
  <w:style w:type="paragraph" w:customStyle="1" w:styleId="Boardbullets">
    <w:name w:val="Board bullets"/>
    <w:basedOn w:val="Normal"/>
    <w:link w:val="BoardbulletsChar"/>
    <w:qFormat/>
    <w:rsid w:val="00FE47F3"/>
    <w:pPr>
      <w:numPr>
        <w:numId w:val="3"/>
      </w:numPr>
      <w:autoSpaceDE w:val="0"/>
      <w:autoSpaceDN w:val="0"/>
      <w:adjustRightInd w:val="0"/>
      <w:spacing w:after="0" w:line="240" w:lineRule="auto"/>
      <w:ind w:left="720" w:hanging="360"/>
    </w:pPr>
    <w:rPr>
      <w:rFonts w:ascii="Arial" w:eastAsia="Calibri" w:hAnsi="Arial" w:cs="Arial"/>
      <w:color w:val="000000"/>
    </w:rPr>
  </w:style>
  <w:style w:type="character" w:customStyle="1" w:styleId="BoardlistChar">
    <w:name w:val="Board list Char"/>
    <w:link w:val="Boardlist"/>
    <w:rsid w:val="00FE47F3"/>
    <w:rPr>
      <w:rFonts w:ascii="Arial" w:eastAsia="Calibri" w:hAnsi="Arial" w:cs="Arial"/>
      <w:color w:val="000000"/>
    </w:rPr>
  </w:style>
  <w:style w:type="paragraph" w:customStyle="1" w:styleId="Boardsubheading">
    <w:name w:val="Board subheading"/>
    <w:basedOn w:val="Normal"/>
    <w:link w:val="BoardsubheadingChar"/>
    <w:qFormat/>
    <w:rsid w:val="00FE47F3"/>
    <w:pPr>
      <w:keepNext/>
      <w:autoSpaceDE w:val="0"/>
      <w:autoSpaceDN w:val="0"/>
      <w:adjustRightInd w:val="0"/>
      <w:spacing w:before="120" w:after="120" w:line="240" w:lineRule="auto"/>
    </w:pPr>
    <w:rPr>
      <w:rFonts w:ascii="Arial" w:eastAsia="Calibri" w:hAnsi="Arial" w:cs="Arial"/>
      <w:i/>
      <w:color w:val="000000"/>
      <w:u w:val="single"/>
    </w:rPr>
  </w:style>
  <w:style w:type="character" w:customStyle="1" w:styleId="BoardbulletsChar">
    <w:name w:val="Board bullets Char"/>
    <w:link w:val="Boardbullets"/>
    <w:rsid w:val="00FE47F3"/>
    <w:rPr>
      <w:rFonts w:ascii="Arial" w:eastAsia="Calibri" w:hAnsi="Arial" w:cs="Arial"/>
      <w:color w:val="000000"/>
    </w:rPr>
  </w:style>
  <w:style w:type="character" w:styleId="FollowedHyperlink">
    <w:name w:val="FollowedHyperlink"/>
    <w:uiPriority w:val="99"/>
    <w:semiHidden/>
    <w:unhideWhenUsed/>
    <w:rsid w:val="00FE47F3"/>
    <w:rPr>
      <w:color w:val="954F72"/>
      <w:u w:val="single"/>
    </w:rPr>
  </w:style>
  <w:style w:type="character" w:customStyle="1" w:styleId="BoardsubheadingChar">
    <w:name w:val="Board subheading Char"/>
    <w:link w:val="Boardsubheading"/>
    <w:rsid w:val="00FE47F3"/>
    <w:rPr>
      <w:rFonts w:ascii="Arial" w:eastAsia="Calibri" w:hAnsi="Arial" w:cs="Arial"/>
      <w:i/>
      <w:color w:val="000000"/>
      <w:u w:val="single"/>
    </w:rPr>
  </w:style>
  <w:style w:type="character" w:styleId="CommentReference">
    <w:name w:val="annotation reference"/>
    <w:uiPriority w:val="99"/>
    <w:semiHidden/>
    <w:unhideWhenUsed/>
    <w:rsid w:val="00FE47F3"/>
    <w:rPr>
      <w:sz w:val="16"/>
      <w:szCs w:val="16"/>
    </w:rPr>
  </w:style>
  <w:style w:type="paragraph" w:styleId="CommentText">
    <w:name w:val="annotation text"/>
    <w:basedOn w:val="Normal"/>
    <w:link w:val="CommentTextChar"/>
    <w:uiPriority w:val="99"/>
    <w:unhideWhenUsed/>
    <w:rsid w:val="00FE47F3"/>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E47F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E47F3"/>
    <w:rPr>
      <w:b/>
      <w:bCs/>
    </w:rPr>
  </w:style>
  <w:style w:type="character" w:customStyle="1" w:styleId="CommentSubjectChar">
    <w:name w:val="Comment Subject Char"/>
    <w:basedOn w:val="CommentTextChar"/>
    <w:link w:val="CommentSubject"/>
    <w:uiPriority w:val="99"/>
    <w:semiHidden/>
    <w:rsid w:val="00FE47F3"/>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E47F3"/>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FE47F3"/>
    <w:rPr>
      <w:rFonts w:ascii="Segoe UI" w:eastAsia="Calibri" w:hAnsi="Segoe UI" w:cs="Segoe UI"/>
      <w:sz w:val="18"/>
      <w:szCs w:val="18"/>
    </w:rPr>
  </w:style>
  <w:style w:type="table" w:styleId="TableGrid">
    <w:name w:val="Table Grid"/>
    <w:basedOn w:val="TableNormal"/>
    <w:uiPriority w:val="59"/>
    <w:rsid w:val="00FE47F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47F3"/>
    <w:pPr>
      <w:tabs>
        <w:tab w:val="center" w:pos="4513"/>
        <w:tab w:val="right" w:pos="9026"/>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FE47F3"/>
    <w:rPr>
      <w:rFonts w:ascii="Calibri" w:eastAsia="Calibri" w:hAnsi="Calibri" w:cs="Times New Roman"/>
    </w:rPr>
  </w:style>
  <w:style w:type="paragraph" w:styleId="Footer">
    <w:name w:val="footer"/>
    <w:basedOn w:val="Normal"/>
    <w:link w:val="FooterChar"/>
    <w:uiPriority w:val="99"/>
    <w:unhideWhenUsed/>
    <w:rsid w:val="00FE47F3"/>
    <w:pPr>
      <w:tabs>
        <w:tab w:val="center" w:pos="4513"/>
        <w:tab w:val="right" w:pos="9026"/>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FE47F3"/>
    <w:rPr>
      <w:rFonts w:ascii="Calibri" w:eastAsia="Calibri" w:hAnsi="Calibri" w:cs="Times New Roman"/>
    </w:rPr>
  </w:style>
  <w:style w:type="paragraph" w:styleId="Revision">
    <w:name w:val="Revision"/>
    <w:hidden/>
    <w:uiPriority w:val="99"/>
    <w:semiHidden/>
    <w:rsid w:val="00FE47F3"/>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DE73F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32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surveyinsights.org/?p=104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a7dd7a64-f5c5-4f30-b8c4-f5626f639d1b" ContentTypeId="0x01010035E33599CC8D1E47A037F474646B1D58" PreviousValue="false"/>
</file>

<file path=customXml/item3.xml><?xml version="1.0" encoding="utf-8"?>
<p:properties xmlns:p="http://schemas.microsoft.com/office/2006/metadata/properties" xmlns:xsi="http://www.w3.org/2001/XMLSchema-instance" xmlns:pc="http://schemas.microsoft.com/office/infopath/2007/PartnerControls">
  <documentManagement>
    <o5359087ad404c199aee74686ab194d3 xmlns="e14115de-03ae-49b5-af01-31035404c456">
      <Terms xmlns="http://schemas.microsoft.com/office/infopath/2007/PartnerControls">
        <TermInfo xmlns="http://schemas.microsoft.com/office/infopath/2007/PartnerControls">
          <TermName xmlns="http://schemas.microsoft.com/office/infopath/2007/PartnerControls">Programme and Project</TermName>
          <TermId xmlns="http://schemas.microsoft.com/office/infopath/2007/PartnerControls">96356c75-f26d-45f0-a4b1-e809250f704c</TermId>
        </TermInfo>
      </Terms>
    </o5359087ad404c199aee74686ab194d3>
    <EDRMSOwner xmlns="83e6134e-a509-407c-96d5-a1046ab80a6e" xsi:nil="true"/>
    <TaxKeywordTaxHTField xmlns="e14115de-03ae-49b5-af01-31035404c456">
      <Terms xmlns="http://schemas.microsoft.com/office/infopath/2007/PartnerControls"/>
    </TaxKeywordTaxHTField>
    <RetentionDate xmlns="83e6134e-a509-407c-96d5-a1046ab80a6e" xsi:nil="true"/>
    <Retention xmlns="83e6134e-a509-407c-96d5-a1046ab80a6e">0</Retention>
    <RetentionType xmlns="83e6134e-a509-407c-96d5-a1046ab80a6e">Notify</RetentionType>
    <_dlc_DocId xmlns="7e692796-5f81-4a32-a711-c4a1667a12ba">HQ4UJUHWDEYU-632875968-1257</_dlc_DocId>
    <_dlc_DocIdUrl xmlns="7e692796-5f81-4a32-a711-c4a1667a12ba">
      <Url>https://share.sp.ons.statistics.gov.uk/sites/ssd/ssdbs/_layouts/15/DocIdRedir.aspx?ID=HQ4UJUHWDEYU-632875968-1257</Url>
      <Description>HQ4UJUHWDEYU-632875968-1257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ONS Document" ma:contentTypeID="0x01010035E33599CC8D1E47A037F474646B1D5800F1F81C27033BD6438A6A28BA4F426713" ma:contentTypeVersion="81" ma:contentTypeDescription="Create a new document." ma:contentTypeScope="" ma:versionID="34355e74a9ffd6862844cf3d7610749b">
  <xsd:schema xmlns:xsd="http://www.w3.org/2001/XMLSchema" xmlns:xs="http://www.w3.org/2001/XMLSchema" xmlns:p="http://schemas.microsoft.com/office/2006/metadata/properties" xmlns:ns1="http://schemas.microsoft.com/sharepoint/v3" xmlns:ns3="e14115de-03ae-49b5-af01-31035404c456" xmlns:ns4="83e6134e-a509-407c-96d5-a1046ab80a6e" xmlns:ns6="7e692796-5f81-4a32-a711-c4a1667a12ba" targetNamespace="http://schemas.microsoft.com/office/2006/metadata/properties" ma:root="true" ma:fieldsID="a69ea9e30e1c7b5312e7c90bfe64f034" ns1:_="" ns3:_="" ns4:_="" ns6:_="">
    <xsd:import namespace="http://schemas.microsoft.com/sharepoint/v3"/>
    <xsd:import namespace="e14115de-03ae-49b5-af01-31035404c456"/>
    <xsd:import namespace="83e6134e-a509-407c-96d5-a1046ab80a6e"/>
    <xsd:import namespace="7e692796-5f81-4a32-a711-c4a1667a12ba"/>
    <xsd:element name="properties">
      <xsd:complexType>
        <xsd:sequence>
          <xsd:element name="documentManagement">
            <xsd:complexType>
              <xsd:all>
                <xsd:element ref="ns3:o5359087ad404c199aee74686ab194d3" minOccurs="0"/>
                <xsd:element ref="ns4:RetentionDate" minOccurs="0"/>
                <xsd:element ref="ns4:Retention" minOccurs="0"/>
                <xsd:element ref="ns4:EDRMSOwner" minOccurs="0"/>
                <xsd:element ref="ns4:RetentionType" minOccurs="0"/>
                <xsd:element ref="ns3:TaxKeywordTaxHTField" minOccurs="0"/>
                <xsd:element ref="ns1:_dlc_Exempt" minOccurs="0"/>
                <xsd:element ref="ns1:_dlc_ExpireDateSaved" minOccurs="0"/>
                <xsd:element ref="ns1:_dlc_ExpireDate"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element name="_dlc_ExpireDateSaved" ma:index="18" nillable="true" ma:displayName="Original Expiration Date" ma:hidden="true" ma:internalName="_dlc_ExpireDateSaved" ma:readOnly="true">
      <xsd:simpleType>
        <xsd:restriction base="dms:DateTime"/>
      </xsd:simpleType>
    </xsd:element>
    <xsd:element name="_dlc_ExpireDate" ma:index="19"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14115de-03ae-49b5-af01-31035404c456" elementFormDefault="qualified">
    <xsd:import namespace="http://schemas.microsoft.com/office/2006/documentManagement/types"/>
    <xsd:import namespace="http://schemas.microsoft.com/office/infopath/2007/PartnerControls"/>
    <xsd:element name="o5359087ad404c199aee74686ab194d3" ma:index="7" ma:taxonomy="true" ma:internalName="o5359087ad404c199aee74686ab194d3" ma:taxonomyFieldName="RecordType" ma:displayName="Record Type" ma:readOnly="false" ma:default="" ma:fieldId="{85359087-ad40-4c19-9aee-74686ab194d3}" ma:sspId="a7dd7a64-f5c5-4f30-b8c4-f5626f639d1b" ma:termSetId="b7884471-767e-4886-9e04-df700fa96fc2" ma:anchorId="00000000-0000-0000-0000-000000000000" ma:open="fals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a7dd7a64-f5c5-4f30-b8c4-f5626f639d1b"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e6134e-a509-407c-96d5-a1046ab80a6e" elementFormDefault="qualified">
    <xsd:import namespace="http://schemas.microsoft.com/office/2006/documentManagement/types"/>
    <xsd:import namespace="http://schemas.microsoft.com/office/infopath/2007/PartnerControls"/>
    <xsd:element name="RetentionDate" ma:index="10" nillable="true" ma:displayName="Retention Date" ma:format="DateOnly" ma:internalName="Retention_x0020_Date" ma:readOnly="false">
      <xsd:simpleType>
        <xsd:restriction base="dms:DateTime"/>
      </xsd:simpleType>
    </xsd:element>
    <xsd:element name="Retention" ma:index="11" nillable="true" ma:displayName="Retention" ma:default="0" ma:internalName="Retention" ma:readOnly="false">
      <xsd:simpleType>
        <xsd:restriction base="dms:Number"/>
      </xsd:simpleType>
    </xsd:element>
    <xsd:element name="EDRMSOwner" ma:index="12" nillable="true" ma:displayName="EDRMSOwner" ma:hidden="true" ma:internalName="EDRMSOwner" ma:readOnly="false">
      <xsd:simpleType>
        <xsd:restriction base="dms:Text"/>
      </xsd:simpleType>
    </xsd:element>
    <xsd:element name="RetentionType" ma:index="13" nillable="true" ma:displayName="Retention Type" ma:default="Notify" ma:internalName="Retention_x0020_Type" ma:readOnly="false">
      <xsd:simpleType>
        <xsd:restriction base="dms:Choice">
          <xsd:enumeration value="Notify"/>
          <xsd:enumeration value="Delete"/>
          <xsd:enumeration value="Declare"/>
        </xsd:restriction>
      </xsd:simpleType>
    </xsd:element>
  </xsd:schema>
  <xsd:schema xmlns:xsd="http://www.w3.org/2001/XMLSchema" xmlns:xs="http://www.w3.org/2001/XMLSchema" xmlns:dms="http://schemas.microsoft.com/office/2006/documentManagement/types" xmlns:pc="http://schemas.microsoft.com/office/infopath/2007/PartnerControls" targetNamespace="7e692796-5f81-4a32-a711-c4a1667a12ba"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p:Policy xmlns:p="office.server.policy" id="" local="true">
  <p:Name>ONS Document</p:Name>
  <p:Description/>
  <p:Statement/>
  <p:PolicyItems>
    <p:PolicyItem featureId="Microsoft.Office.RecordsManagement.PolicyFeatures.Expiration" staticId="0x01010035E33599CC8D1E47A037F474646B1D58|2057524105" UniqueId="d097a687-1114-45fc-89d8-799351d0ef20">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100</number>
                  <property>Retention_x0020_Date</property>
                  <period>years</period>
                </formula>
                <action type="action" id="ONS-RetentionAction"/>
              </data>
            </stages>
          </Schedule>
        </Schedules>
      </p:CustomData>
    </p:PolicyItem>
  </p:PolicyItems>
</p:Policy>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18017-1D0B-4FF5-B44E-9E6ECA48D5BF}">
  <ds:schemaRefs>
    <ds:schemaRef ds:uri="http://schemas.microsoft.com/sharepoint/v3/contenttype/forms"/>
  </ds:schemaRefs>
</ds:datastoreItem>
</file>

<file path=customXml/itemProps2.xml><?xml version="1.0" encoding="utf-8"?>
<ds:datastoreItem xmlns:ds="http://schemas.openxmlformats.org/officeDocument/2006/customXml" ds:itemID="{F94878AA-BDD1-4C38-8178-F2D15909A589}">
  <ds:schemaRefs>
    <ds:schemaRef ds:uri="Microsoft.SharePoint.Taxonomy.ContentTypeSync"/>
  </ds:schemaRefs>
</ds:datastoreItem>
</file>

<file path=customXml/itemProps3.xml><?xml version="1.0" encoding="utf-8"?>
<ds:datastoreItem xmlns:ds="http://schemas.openxmlformats.org/officeDocument/2006/customXml" ds:itemID="{A7570F06-8FFA-4523-B2A6-85DA37224DA0}">
  <ds:schemaRefs>
    <ds:schemaRef ds:uri="83e6134e-a509-407c-96d5-a1046ab80a6e"/>
    <ds:schemaRef ds:uri="http://schemas.microsoft.com/office/2006/documentManagement/types"/>
    <ds:schemaRef ds:uri="http://schemas.microsoft.com/office/infopath/2007/PartnerControls"/>
    <ds:schemaRef ds:uri="http://purl.org/dc/dcmitype/"/>
    <ds:schemaRef ds:uri="e14115de-03ae-49b5-af01-31035404c456"/>
    <ds:schemaRef ds:uri="http://purl.org/dc/elements/1.1/"/>
    <ds:schemaRef ds:uri="http://schemas.microsoft.com/office/2006/metadata/properties"/>
    <ds:schemaRef ds:uri="http://schemas.openxmlformats.org/package/2006/metadata/core-properties"/>
    <ds:schemaRef ds:uri="http://schemas.microsoft.com/sharepoint/v3"/>
    <ds:schemaRef ds:uri="7e692796-5f81-4a32-a711-c4a1667a12ba"/>
    <ds:schemaRef ds:uri="http://www.w3.org/XML/1998/namespace"/>
    <ds:schemaRef ds:uri="http://purl.org/dc/terms/"/>
  </ds:schemaRefs>
</ds:datastoreItem>
</file>

<file path=customXml/itemProps4.xml><?xml version="1.0" encoding="utf-8"?>
<ds:datastoreItem xmlns:ds="http://schemas.openxmlformats.org/officeDocument/2006/customXml" ds:itemID="{173B6DA6-FF9B-4F85-8B25-A861201EA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4115de-03ae-49b5-af01-31035404c456"/>
    <ds:schemaRef ds:uri="83e6134e-a509-407c-96d5-a1046ab80a6e"/>
    <ds:schemaRef ds:uri="7e692796-5f81-4a32-a711-c4a1667a1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F7B9F0-60F7-4F6F-872D-E95C93C8AF65}">
  <ds:schemaRefs>
    <ds:schemaRef ds:uri="http://schemas.microsoft.com/sharepoint/events"/>
  </ds:schemaRefs>
</ds:datastoreItem>
</file>

<file path=customXml/itemProps6.xml><?xml version="1.0" encoding="utf-8"?>
<ds:datastoreItem xmlns:ds="http://schemas.openxmlformats.org/officeDocument/2006/customXml" ds:itemID="{F93274CF-E4E8-4205-95EA-8570E62B7857}">
  <ds:schemaRefs>
    <ds:schemaRef ds:uri="http://schemas.microsoft.com/office/2006/metadata/customXsn"/>
  </ds:schemaRefs>
</ds:datastoreItem>
</file>

<file path=customXml/itemProps7.xml><?xml version="1.0" encoding="utf-8"?>
<ds:datastoreItem xmlns:ds="http://schemas.openxmlformats.org/officeDocument/2006/customXml" ds:itemID="{0D666DCC-83C1-41A5-BD34-1BBDE8FC5F59}">
  <ds:schemaRefs>
    <ds:schemaRef ds:uri="office.server.policy"/>
  </ds:schemaRefs>
</ds:datastoreItem>
</file>

<file path=customXml/itemProps8.xml><?xml version="1.0" encoding="utf-8"?>
<ds:datastoreItem xmlns:ds="http://schemas.openxmlformats.org/officeDocument/2006/customXml" ds:itemID="{5132DF91-A76E-4A22-81A5-FBE9BAA4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1875</Words>
  <Characters>10689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Office for National Statistics</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Helen</dc:creator>
  <cp:keywords/>
  <dc:description/>
  <cp:lastModifiedBy>Farnall, Jen</cp:lastModifiedBy>
  <cp:revision>2</cp:revision>
  <dcterms:created xsi:type="dcterms:W3CDTF">2020-08-11T07:05:00Z</dcterms:created>
  <dcterms:modified xsi:type="dcterms:W3CDTF">2020-08-11T07:05:00Z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0x01010035E33599CC8D1E47A037F474646B1D5800F1F81C27033BD6438A6A28BA4F426713</vt:lpwstr>
  </property>
  <property fmtid="{D5CDD505-2E9C-101B-9397-08002B2CF9AE}" pid="3" name="_dlc_policyId">
    <vt:lpwstr>0x01010035E33599CC8D1E47A037F474646B1D58|2057524105</vt:lpwstr>
  </property>
  <property fmtid="{D5CDD505-2E9C-101B-9397-08002B2CF9AE}" pid="4" name="ItemRetentionFormula">
    <vt:lpwstr>&lt;formula id="Microsoft.Office.RecordsManagement.PolicyFeatures.Expiration.Formula.BuiltIn"&gt;&lt;number&gt;100&lt;/number&gt;&lt;property&gt;Retention_x005f_x0020_Date&lt;/property&gt;&lt;period&gt;years&lt;/period&gt;&lt;/formula&gt;</vt:lpwstr>
  </property>
  <property fmtid="{D5CDD505-2E9C-101B-9397-08002B2CF9AE}" pid="5" name="_dlc_DocIdItemGuid">
    <vt:lpwstr>e4541c71-13ea-4cbc-9727-5b67aa63642e</vt:lpwstr>
  </property>
  <property fmtid="{D5CDD505-2E9C-101B-9397-08002B2CF9AE}" pid="6" name="TaxKeyword">
    <vt:lpwstr/>
  </property>
  <property fmtid="{D5CDD505-2E9C-101B-9397-08002B2CF9AE}" pid="7" name="RecordType">
    <vt:lpwstr>4;#Programme and Project|96356c75-f26d-45f0-a4b1-e809250f704c</vt:lpwstr>
  </property>
  <property fmtid="{D5CDD505-2E9C-101B-9397-08002B2CF9AE}" pid="8" name="TaxCatchAll">
    <vt:lpwstr>4;#Programme and Project|96356c75-f26d-45f0-a4b1-e809250f704c</vt:lpwstr>
  </property>
</Properties>
</file>